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0412" w14:textId="77777777" w:rsidR="00D203C1" w:rsidRDefault="00D203C1">
      <w:r>
        <w:t>Matthias Scharer</w:t>
      </w:r>
    </w:p>
    <w:p w14:paraId="672A0413" w14:textId="77777777" w:rsidR="00D203C1" w:rsidRDefault="002F3544">
      <w:pPr>
        <w:rPr>
          <w:b/>
        </w:rPr>
      </w:pPr>
      <w:r w:rsidRPr="002F3544">
        <w:rPr>
          <w:b/>
        </w:rPr>
        <w:t xml:space="preserve">Lebendigen </w:t>
      </w:r>
      <w:r w:rsidR="001312C6">
        <w:rPr>
          <w:b/>
        </w:rPr>
        <w:t>Lernp</w:t>
      </w:r>
      <w:r w:rsidR="00D203C1">
        <w:rPr>
          <w:b/>
        </w:rPr>
        <w:t>rozessen trauen, Kompetenzen fördern</w:t>
      </w:r>
    </w:p>
    <w:p w14:paraId="672A0414" w14:textId="6EE92EF8" w:rsidR="00D203C1" w:rsidRDefault="00E42B46">
      <w:r>
        <w:t>Da</w:t>
      </w:r>
      <w:r w:rsidR="00452F05">
        <w:t>s</w:t>
      </w:r>
      <w:r w:rsidR="00D203C1">
        <w:t xml:space="preserve"> </w:t>
      </w:r>
      <w:r w:rsidR="00A706D4">
        <w:t>‚</w:t>
      </w:r>
      <w:r w:rsidR="00D203C1">
        <w:t>Innsbrucker Modell</w:t>
      </w:r>
      <w:r w:rsidR="00A706D4">
        <w:t>‘</w:t>
      </w:r>
      <w:r w:rsidR="00452F05">
        <w:t xml:space="preserve"> der </w:t>
      </w:r>
      <w:proofErr w:type="spellStart"/>
      <w:r w:rsidR="00452F05">
        <w:t>Religion</w:t>
      </w:r>
      <w:r w:rsidR="00C53FB6">
        <w:t>slehrerInnenausbildung</w:t>
      </w:r>
      <w:proofErr w:type="spellEnd"/>
      <w:r w:rsidR="00C53FB6">
        <w:t xml:space="preserve"> unter der</w:t>
      </w:r>
      <w:r w:rsidR="00452F05">
        <w:t xml:space="preserve"> Herausforderung des </w:t>
      </w:r>
      <w:r>
        <w:t xml:space="preserve">Kompetenz- und </w:t>
      </w:r>
      <w:r w:rsidR="00D203C1">
        <w:t>Standarddiskurs</w:t>
      </w:r>
      <w:r w:rsidR="00452F05">
        <w:t>es</w:t>
      </w:r>
      <w:r>
        <w:t xml:space="preserve"> in der Religionsdidaktik</w:t>
      </w:r>
    </w:p>
    <w:p w14:paraId="672A0415" w14:textId="74C95F02" w:rsidR="00D1239A" w:rsidRDefault="00A21214">
      <w:r>
        <w:t xml:space="preserve">Unter dem Titel „Kompetenzen für die Praxis? Innovative Modelle der Religionslehreraus- und </w:t>
      </w:r>
      <w:r w:rsidR="005C65B2">
        <w:t>-f</w:t>
      </w:r>
      <w:r>
        <w:t>ortbildung“</w:t>
      </w:r>
      <w:r>
        <w:rPr>
          <w:rStyle w:val="Funotenzeichen"/>
        </w:rPr>
        <w:footnoteReference w:id="1"/>
      </w:r>
      <w:r>
        <w:t xml:space="preserve"> erschien 2000 ein Tagungsbericht zur gleichnamigen</w:t>
      </w:r>
      <w:r w:rsidR="00E42B46">
        <w:t>, ökumenisch ausgerichteten</w:t>
      </w:r>
      <w:r w:rsidR="005F4441">
        <w:t xml:space="preserve"> </w:t>
      </w:r>
      <w:r>
        <w:t>Studienkonferenz</w:t>
      </w:r>
      <w:r w:rsidR="005E38FD">
        <w:t>, die 1998</w:t>
      </w:r>
      <w:r>
        <w:t xml:space="preserve"> an der Thomas-</w:t>
      </w:r>
      <w:proofErr w:type="spellStart"/>
      <w:r>
        <w:t>Morus</w:t>
      </w:r>
      <w:proofErr w:type="spellEnd"/>
      <w:r>
        <w:t>-Akademie</w:t>
      </w:r>
      <w:r w:rsidR="005E38FD">
        <w:t xml:space="preserve"> Bergisch Gladbach-</w:t>
      </w:r>
      <w:proofErr w:type="spellStart"/>
      <w:r w:rsidR="005E38FD">
        <w:t>Bensberg</w:t>
      </w:r>
      <w:proofErr w:type="spellEnd"/>
      <w:r w:rsidR="005E38FD">
        <w:t xml:space="preserve"> veranstaltet wurde. Die Einladung zu dieser Konferenz </w:t>
      </w:r>
      <w:r w:rsidR="00E42B46">
        <w:rPr>
          <w:rStyle w:val="Funotenzeichen"/>
        </w:rPr>
        <w:footnoteReference w:id="2"/>
      </w:r>
      <w:r w:rsidR="00E42B46">
        <w:t xml:space="preserve"> </w:t>
      </w:r>
      <w:r w:rsidR="005E38FD">
        <w:t>und die nachfolgende Veröffentlichung waren für mich der Anlass das so</w:t>
      </w:r>
      <w:r w:rsidR="005C65B2">
        <w:t xml:space="preserve"> </w:t>
      </w:r>
      <w:r w:rsidR="005E38FD">
        <w:t xml:space="preserve">genannte </w:t>
      </w:r>
      <w:r w:rsidR="00A706D4">
        <w:t>‚</w:t>
      </w:r>
      <w:r w:rsidR="005E38FD">
        <w:t>Innsbrucker Modell</w:t>
      </w:r>
      <w:r w:rsidR="00A706D4">
        <w:t>‘</w:t>
      </w:r>
      <w:r w:rsidR="005E38FD">
        <w:t xml:space="preserve"> de</w:t>
      </w:r>
      <w:r w:rsidR="00F15AFD">
        <w:t>r religionsdidaktischen Ausbildung</w:t>
      </w:r>
      <w:r w:rsidR="00AA7B8C">
        <w:t xml:space="preserve"> (IMRA)</w:t>
      </w:r>
      <w:r w:rsidR="00AA7B8C">
        <w:rPr>
          <w:rStyle w:val="Funotenzeichen"/>
        </w:rPr>
        <w:footnoteReference w:id="3"/>
      </w:r>
      <w:r w:rsidR="005E38FD">
        <w:t>, das ich in den Grundzügen bereits aus Linz</w:t>
      </w:r>
      <w:r w:rsidR="005E38FD">
        <w:rPr>
          <w:rStyle w:val="Funotenzeichen"/>
        </w:rPr>
        <w:footnoteReference w:id="4"/>
      </w:r>
      <w:r w:rsidR="005E38FD">
        <w:t xml:space="preserve"> mitgebracht hatte, zusammenzufassen. </w:t>
      </w:r>
      <w:r w:rsidR="00E42B46">
        <w:t>Das IMRA</w:t>
      </w:r>
      <w:r w:rsidR="00AA7B8C">
        <w:t xml:space="preserve"> ist nicht das Werk eines Einzelnen</w:t>
      </w:r>
      <w:r w:rsidR="00D1239A">
        <w:t xml:space="preserve">, sondern </w:t>
      </w:r>
      <w:r w:rsidR="00AA7B8C">
        <w:t xml:space="preserve">wird </w:t>
      </w:r>
      <w:r w:rsidR="00D1239A">
        <w:t>kooperativ prak</w:t>
      </w:r>
      <w:r w:rsidR="00AA7B8C">
        <w:t>tiziert und weiter gedacht</w:t>
      </w:r>
      <w:r w:rsidR="003E2574">
        <w:t xml:space="preserve">. Wenn ich </w:t>
      </w:r>
      <w:r w:rsidR="00D1239A">
        <w:t>in diesem Aufsatz eine kurze Bilanz versuche un</w:t>
      </w:r>
      <w:r w:rsidR="0014693A">
        <w:t>d Weiterentwicklungen skizziere</w:t>
      </w:r>
      <w:r w:rsidR="00AA7B8C">
        <w:t>, dann verstehe ich mich</w:t>
      </w:r>
      <w:r w:rsidR="00E62658">
        <w:t xml:space="preserve"> als Sprecher</w:t>
      </w:r>
      <w:r w:rsidR="0014693A">
        <w:t xml:space="preserve"> </w:t>
      </w:r>
      <w:r w:rsidR="00AA7B8C">
        <w:t xml:space="preserve">und Anreger </w:t>
      </w:r>
      <w:r w:rsidR="00E62658">
        <w:t>einschlägiger Prozesse</w:t>
      </w:r>
      <w:r w:rsidR="00D1239A">
        <w:t xml:space="preserve">. </w:t>
      </w:r>
    </w:p>
    <w:p w14:paraId="672A0416" w14:textId="47500DB8" w:rsidR="00025021" w:rsidRDefault="00854621">
      <w:r>
        <w:t xml:space="preserve">Seit besagter Tagung sind </w:t>
      </w:r>
      <w:r w:rsidR="00D1239A">
        <w:t xml:space="preserve">nun </w:t>
      </w:r>
      <w:r w:rsidR="003D6402">
        <w:t>15 Jahre vergangen</w:t>
      </w:r>
      <w:r w:rsidR="003E0A73">
        <w:t>,</w:t>
      </w:r>
      <w:r w:rsidR="003D6402">
        <w:t xml:space="preserve"> </w:t>
      </w:r>
      <w:r>
        <w:t>in denen wir</w:t>
      </w:r>
      <w:r w:rsidR="00C85A6D">
        <w:t xml:space="preserve"> </w:t>
      </w:r>
      <w:r>
        <w:t>untersc</w:t>
      </w:r>
      <w:r w:rsidR="00E62658">
        <w:t>hiedliche Erfahrungen mit dem IMRA</w:t>
      </w:r>
      <w:r w:rsidR="005E0764">
        <w:t xml:space="preserve"> gemacht</w:t>
      </w:r>
      <w:r w:rsidR="0014693A">
        <w:t xml:space="preserve"> haben</w:t>
      </w:r>
      <w:r w:rsidR="00C85A6D">
        <w:rPr>
          <w:rStyle w:val="Funotenzeichen"/>
        </w:rPr>
        <w:footnoteReference w:id="5"/>
      </w:r>
      <w:r w:rsidR="00E42B46">
        <w:t xml:space="preserve">. </w:t>
      </w:r>
      <w:r w:rsidR="00C85A6D">
        <w:t>Es</w:t>
      </w:r>
      <w:r w:rsidR="00E62658">
        <w:t xml:space="preserve"> </w:t>
      </w:r>
      <w:r w:rsidR="00027F3C">
        <w:t xml:space="preserve">konkretisiert </w:t>
      </w:r>
      <w:r w:rsidR="003D6402">
        <w:t>langjährige Entwicklung</w:t>
      </w:r>
      <w:r w:rsidR="00625AD1">
        <w:t>en in der Kommunikativen Theologie</w:t>
      </w:r>
      <w:r w:rsidR="00E62658">
        <w:t xml:space="preserve"> </w:t>
      </w:r>
      <w:r w:rsidR="00625AD1">
        <w:t>(</w:t>
      </w:r>
      <w:proofErr w:type="spellStart"/>
      <w:r w:rsidR="00E62658">
        <w:t>KomTheo</w:t>
      </w:r>
      <w:proofErr w:type="spellEnd"/>
      <w:r w:rsidR="00625AD1">
        <w:t>)</w:t>
      </w:r>
      <w:r w:rsidR="00E42B46" w:rsidRPr="00E42B46">
        <w:rPr>
          <w:vertAlign w:val="superscript"/>
        </w:rPr>
        <w:footnoteReference w:id="6"/>
      </w:r>
      <w:r w:rsidR="00B715CC" w:rsidRPr="00B715CC">
        <w:rPr>
          <w:rStyle w:val="Funotenzeichen"/>
        </w:rPr>
        <w:t xml:space="preserve"> </w:t>
      </w:r>
      <w:r>
        <w:t>mit ihrer Rezeption der Themenzentrierten Interaktion R. C</w:t>
      </w:r>
      <w:r w:rsidR="00575A00">
        <w:t>. Cohns</w:t>
      </w:r>
      <w:r w:rsidR="003D6402">
        <w:t xml:space="preserve"> </w:t>
      </w:r>
      <w:r w:rsidR="00D14587">
        <w:t>(TZI)</w:t>
      </w:r>
      <w:r w:rsidR="00B715CC">
        <w:rPr>
          <w:rStyle w:val="Funotenzeichen"/>
        </w:rPr>
        <w:footnoteReference w:id="7"/>
      </w:r>
      <w:r w:rsidR="00027F3C">
        <w:t xml:space="preserve"> auf die Religionsdidaktik hin</w:t>
      </w:r>
      <w:r w:rsidR="00B715CC">
        <w:t xml:space="preserve">. Mit der Interdisziplinarität der </w:t>
      </w:r>
      <w:proofErr w:type="spellStart"/>
      <w:r w:rsidR="00B715CC">
        <w:t>Kom</w:t>
      </w:r>
      <w:r w:rsidR="0014693A">
        <w:t>Theo</w:t>
      </w:r>
      <w:proofErr w:type="spellEnd"/>
      <w:r w:rsidR="0014693A">
        <w:t xml:space="preserve"> </w:t>
      </w:r>
      <w:r w:rsidR="00B715CC">
        <w:t xml:space="preserve">ist die Entwicklung einer </w:t>
      </w:r>
      <w:r w:rsidR="00A706D4">
        <w:t>‚</w:t>
      </w:r>
      <w:r w:rsidR="00B715CC">
        <w:t>Kooperativen Religionsdidaktik</w:t>
      </w:r>
      <w:r w:rsidR="00A706D4">
        <w:t>‘</w:t>
      </w:r>
      <w:r w:rsidR="00B715CC">
        <w:rPr>
          <w:rStyle w:val="Funotenzeichen"/>
        </w:rPr>
        <w:footnoteReference w:id="8"/>
      </w:r>
      <w:r w:rsidR="00B715CC">
        <w:t xml:space="preserve"> verbunden</w:t>
      </w:r>
      <w:r w:rsidR="005C65B2">
        <w:t>.</w:t>
      </w:r>
      <w:r w:rsidR="00B715CC">
        <w:t xml:space="preserve"> </w:t>
      </w:r>
      <w:r w:rsidR="005C65B2">
        <w:t>D</w:t>
      </w:r>
      <w:r w:rsidR="00F46007">
        <w:t xml:space="preserve">ie TZI </w:t>
      </w:r>
      <w:r w:rsidR="0014693A">
        <w:t xml:space="preserve">erschließt (hochschul-)didaktische Erfahrungen in unterschiedlichen Bereichen, vor allem auch in der Erwachsenenbildung und in der politisch-gesellschaftlichen Bildungsarbeit. </w:t>
      </w:r>
      <w:r w:rsidR="00B715CC">
        <w:t>Beeinflusst</w:t>
      </w:r>
      <w:r w:rsidR="00E62658">
        <w:t xml:space="preserve"> wurde das IMRA</w:t>
      </w:r>
      <w:r w:rsidR="005F4441">
        <w:t xml:space="preserve"> auch von</w:t>
      </w:r>
      <w:r w:rsidR="00575A00">
        <w:t xml:space="preserve"> Erfahrungen </w:t>
      </w:r>
      <w:r w:rsidR="005E0764">
        <w:t>im fünf</w:t>
      </w:r>
      <w:r w:rsidR="00575A00">
        <w:t>semestrigen Uni</w:t>
      </w:r>
      <w:r w:rsidR="00D14587">
        <w:t>versitätslehrgang Kommunikative</w:t>
      </w:r>
      <w:r w:rsidR="00575A00">
        <w:t xml:space="preserve"> Theologie</w:t>
      </w:r>
      <w:r w:rsidR="00D14587">
        <w:t xml:space="preserve">, der </w:t>
      </w:r>
      <w:r w:rsidR="00575A00">
        <w:t>als Master-/</w:t>
      </w:r>
      <w:proofErr w:type="spellStart"/>
      <w:r w:rsidR="00575A00">
        <w:t>Lizentiatslehrgang</w:t>
      </w:r>
      <w:proofErr w:type="spellEnd"/>
      <w:r w:rsidR="00575A00">
        <w:t xml:space="preserve"> im Weiterbildungsbereich</w:t>
      </w:r>
      <w:r w:rsidR="00D14587">
        <w:t xml:space="preserve"> angesiedelt ist</w:t>
      </w:r>
      <w:r w:rsidR="00554A95">
        <w:t xml:space="preserve">. In den letzten zehn Jahren haben diesen Lehrgang </w:t>
      </w:r>
      <w:r w:rsidR="00F46007">
        <w:t xml:space="preserve">ca. 70 </w:t>
      </w:r>
      <w:proofErr w:type="spellStart"/>
      <w:r w:rsidR="00554A95">
        <w:lastRenderedPageBreak/>
        <w:t>KollegInnen</w:t>
      </w:r>
      <w:proofErr w:type="spellEnd"/>
      <w:r w:rsidR="00554A95">
        <w:t xml:space="preserve"> aus Universitäten, </w:t>
      </w:r>
      <w:r w:rsidR="00575A00">
        <w:t>(Religions-)pädagogischen Hochschulen</w:t>
      </w:r>
      <w:r w:rsidR="00554A95">
        <w:t xml:space="preserve"> sowie</w:t>
      </w:r>
      <w:r w:rsidR="00F46007">
        <w:t xml:space="preserve"> in der Schulaufsicht tätige</w:t>
      </w:r>
      <w:r w:rsidR="00554A95">
        <w:t xml:space="preserve"> </w:t>
      </w:r>
      <w:r w:rsidR="00575A00">
        <w:t xml:space="preserve">abgeschlossen. </w:t>
      </w:r>
    </w:p>
    <w:p w14:paraId="672A0417" w14:textId="0DEAAD2B" w:rsidR="00854621" w:rsidRDefault="00C85A6D">
      <w:r>
        <w:t xml:space="preserve">Im Folgenden werde ich </w:t>
      </w:r>
      <w:r w:rsidR="00575A00">
        <w:t>die wichtigsten Elemente des I</w:t>
      </w:r>
      <w:r w:rsidR="00E62658">
        <w:t xml:space="preserve">MRA – einschließlich der </w:t>
      </w:r>
      <w:r w:rsidR="003E1CFA">
        <w:t>‚</w:t>
      </w:r>
      <w:r w:rsidR="00E62658">
        <w:t>Anmerkungen</w:t>
      </w:r>
      <w:r w:rsidR="003E1CFA">
        <w:t>‘</w:t>
      </w:r>
      <w:r w:rsidR="00E62658">
        <w:t xml:space="preserve"> von R. Englert im erwähnten Tagungsband – </w:t>
      </w:r>
      <w:r w:rsidR="00575A00">
        <w:t>zusammenfassen</w:t>
      </w:r>
      <w:r w:rsidR="001B6E1E">
        <w:t xml:space="preserve"> und auf den Kompetenzgewinn </w:t>
      </w:r>
      <w:r w:rsidR="00746120">
        <w:t xml:space="preserve">hin </w:t>
      </w:r>
      <w:r w:rsidR="001B6E1E">
        <w:t>befragen</w:t>
      </w:r>
      <w:r w:rsidR="00F46007">
        <w:t xml:space="preserve"> (1); </w:t>
      </w:r>
      <w:proofErr w:type="spellStart"/>
      <w:r w:rsidR="00866558">
        <w:t>weiters</w:t>
      </w:r>
      <w:proofErr w:type="spellEnd"/>
      <w:r w:rsidR="00866558">
        <w:t xml:space="preserve"> werde ich</w:t>
      </w:r>
      <w:r>
        <w:t xml:space="preserve"> Erfahrunge</w:t>
      </w:r>
      <w:r w:rsidR="00866558">
        <w:t xml:space="preserve">n mit dem IMRA </w:t>
      </w:r>
      <w:r>
        <w:t xml:space="preserve">auf deren Kompetenzrelevanz hin reflektieren (2); </w:t>
      </w:r>
      <w:r w:rsidR="00C768AA">
        <w:t>schließlich</w:t>
      </w:r>
      <w:r w:rsidR="00E62658">
        <w:t xml:space="preserve"> </w:t>
      </w:r>
      <w:r>
        <w:t xml:space="preserve">werde ich </w:t>
      </w:r>
      <w:r w:rsidR="00575A00">
        <w:t>möglich</w:t>
      </w:r>
      <w:r w:rsidR="00E62658">
        <w:t>e</w:t>
      </w:r>
      <w:r w:rsidR="00575A00">
        <w:t xml:space="preserve"> Verbindung</w:t>
      </w:r>
      <w:r w:rsidR="00E62658">
        <w:t>en und Differenzen</w:t>
      </w:r>
      <w:r>
        <w:t xml:space="preserve"> mit dem</w:t>
      </w:r>
      <w:r w:rsidR="00575A00">
        <w:t xml:space="preserve"> derzeit lauf</w:t>
      </w:r>
      <w:r>
        <w:t>enden Kompetenz-/Standarddiskurs speziell in Österreich</w:t>
      </w:r>
      <w:r w:rsidR="00575A00">
        <w:t xml:space="preserve"> diskutieren</w:t>
      </w:r>
      <w:r w:rsidR="00C768AA">
        <w:t xml:space="preserve"> (3)</w:t>
      </w:r>
      <w:r w:rsidR="00575A00">
        <w:t>.</w:t>
      </w:r>
    </w:p>
    <w:p w14:paraId="672A0418" w14:textId="0BD6C73D" w:rsidR="00D1239A" w:rsidRDefault="00DC4E7F" w:rsidP="00DC4E7F">
      <w:r>
        <w:t>1.</w:t>
      </w:r>
      <w:r w:rsidR="00F37691">
        <w:t xml:space="preserve"> </w:t>
      </w:r>
      <w:r w:rsidR="00274896">
        <w:t xml:space="preserve">Perspektiven und </w:t>
      </w:r>
      <w:r w:rsidR="00D1239A">
        <w:t>El</w:t>
      </w:r>
      <w:r w:rsidR="00E62658">
        <w:t>emente des IMRA</w:t>
      </w:r>
      <w:r w:rsidR="003E2574">
        <w:t xml:space="preserve"> und die </w:t>
      </w:r>
      <w:r w:rsidR="003E1CFA">
        <w:t>‚</w:t>
      </w:r>
      <w:r w:rsidR="003E2574">
        <w:t>Anmerkungen</w:t>
      </w:r>
      <w:r w:rsidR="003E1CFA">
        <w:t>‘</w:t>
      </w:r>
      <w:r w:rsidR="003E2574">
        <w:t xml:space="preserve"> von R. Englert</w:t>
      </w:r>
      <w:r w:rsidR="001B6E1E">
        <w:t xml:space="preserve"> im Hinblick auf den Kompetenzgewinn</w:t>
      </w:r>
    </w:p>
    <w:p w14:paraId="672A0419" w14:textId="4860FDB9" w:rsidR="00274896" w:rsidRDefault="00274896" w:rsidP="00274896">
      <w:r>
        <w:t xml:space="preserve">Das IMRA stellt sich </w:t>
      </w:r>
      <w:r w:rsidR="00C85A6D">
        <w:t xml:space="preserve">zunächst </w:t>
      </w:r>
      <w:r>
        <w:t>der</w:t>
      </w:r>
      <w:r w:rsidR="00866558">
        <w:t>selben</w:t>
      </w:r>
      <w:r>
        <w:t xml:space="preserve"> Problematik, </w:t>
      </w:r>
      <w:r w:rsidR="00C85A6D">
        <w:t xml:space="preserve">aus der heraus die </w:t>
      </w:r>
      <w:proofErr w:type="spellStart"/>
      <w:r w:rsidR="00C85A6D">
        <w:t>KomThe</w:t>
      </w:r>
      <w:r w:rsidR="00FE22EC">
        <w:t>o</w:t>
      </w:r>
      <w:proofErr w:type="spellEnd"/>
      <w:r w:rsidR="00C85A6D">
        <w:t xml:space="preserve"> entstanden ist: </w:t>
      </w:r>
      <w:r w:rsidR="000765F3">
        <w:t xml:space="preserve">Es greift die Kluft zwischen den </w:t>
      </w:r>
      <w:r>
        <w:t xml:space="preserve">speziell im Theologiestudium </w:t>
      </w:r>
      <w:r w:rsidR="003E1CFA">
        <w:t>‚</w:t>
      </w:r>
      <w:r>
        <w:t>erlernten</w:t>
      </w:r>
      <w:r w:rsidR="003E1CFA">
        <w:t>‘</w:t>
      </w:r>
      <w:r>
        <w:t xml:space="preserve"> Inhalten</w:t>
      </w:r>
      <w:r w:rsidR="00C85A6D">
        <w:t xml:space="preserve"> und dem theologisch-kritischen Bewusstsein für die Gestaltung von </w:t>
      </w:r>
      <w:r w:rsidR="003E1CFA">
        <w:t>‚</w:t>
      </w:r>
      <w:r>
        <w:t>Praxis</w:t>
      </w:r>
      <w:r w:rsidR="003E1CFA">
        <w:t>‘</w:t>
      </w:r>
      <w:r>
        <w:t xml:space="preserve"> in Schule</w:t>
      </w:r>
      <w:r w:rsidR="00C85A6D">
        <w:t xml:space="preserve">, Erwachsenenbildung, </w:t>
      </w:r>
      <w:r>
        <w:t>Gemeinde</w:t>
      </w:r>
      <w:r w:rsidR="00FE22EC">
        <w:t xml:space="preserve">n usw. </w:t>
      </w:r>
      <w:r w:rsidR="000765F3">
        <w:t>auf</w:t>
      </w:r>
      <w:r w:rsidR="00FE22EC">
        <w:t xml:space="preserve">. </w:t>
      </w:r>
      <w:proofErr w:type="spellStart"/>
      <w:r w:rsidR="000765F3">
        <w:t>Weiters</w:t>
      </w:r>
      <w:proofErr w:type="spellEnd"/>
      <w:r w:rsidR="000765F3">
        <w:t xml:space="preserve"> macht es deutlich, dass v</w:t>
      </w:r>
      <w:r w:rsidR="00FE22EC">
        <w:t xml:space="preserve">or allem </w:t>
      </w:r>
      <w:r>
        <w:t>die theologische Bedeutung von Interaktions- und Kommunikations</w:t>
      </w:r>
      <w:r w:rsidR="00C85A6D">
        <w:t>prozessen im Bildungs- und Seelsorgehandeln</w:t>
      </w:r>
      <w:r w:rsidR="00823959">
        <w:t xml:space="preserve"> viel </w:t>
      </w:r>
      <w:r w:rsidR="00866558">
        <w:t>zu wenig erkannt</w:t>
      </w:r>
      <w:r w:rsidR="000765F3">
        <w:t xml:space="preserve"> wird</w:t>
      </w:r>
      <w:r w:rsidR="00866558">
        <w:t>, so dass es zu</w:t>
      </w:r>
      <w:r w:rsidR="00823959">
        <w:t xml:space="preserve"> </w:t>
      </w:r>
      <w:r w:rsidR="00866558">
        <w:t xml:space="preserve">einer </w:t>
      </w:r>
      <w:r w:rsidR="00823959">
        <w:t>Ab</w:t>
      </w:r>
      <w:r w:rsidR="00625AD1">
        <w:t>s</w:t>
      </w:r>
      <w:r w:rsidR="00197E2C">
        <w:t xml:space="preserve">paltung </w:t>
      </w:r>
      <w:r w:rsidR="000765F3">
        <w:t>der</w:t>
      </w:r>
      <w:r w:rsidR="00197E2C">
        <w:t xml:space="preserve"> Religions- und Glaubenserschließungsprozesse</w:t>
      </w:r>
      <w:r w:rsidR="00823959">
        <w:t xml:space="preserve"> </w:t>
      </w:r>
      <w:r w:rsidR="00197E2C">
        <w:t xml:space="preserve">von </w:t>
      </w:r>
      <w:r w:rsidR="000765F3">
        <w:t xml:space="preserve">der </w:t>
      </w:r>
      <w:r w:rsidR="00197E2C">
        <w:t>theolo</w:t>
      </w:r>
      <w:r w:rsidR="00FE22EC">
        <w:t>gischen Perspektive k</w:t>
      </w:r>
      <w:r w:rsidR="000765F3">
        <w:t xml:space="preserve">omme. Das hat zur Folge, dass diese Prozesse </w:t>
      </w:r>
      <w:r w:rsidR="00197E2C">
        <w:t>zwar</w:t>
      </w:r>
      <w:r w:rsidR="00823959">
        <w:t xml:space="preserve"> </w:t>
      </w:r>
      <w:r w:rsidR="00FE22EC">
        <w:t xml:space="preserve">von </w:t>
      </w:r>
      <w:r w:rsidR="00823959">
        <w:t>unters</w:t>
      </w:r>
      <w:r w:rsidR="00C85A6D">
        <w:t xml:space="preserve">chiedlichen säkularen </w:t>
      </w:r>
      <w:proofErr w:type="spellStart"/>
      <w:r w:rsidR="00C85A6D">
        <w:t>Logiken</w:t>
      </w:r>
      <w:proofErr w:type="spellEnd"/>
      <w:r w:rsidR="00C85A6D">
        <w:t xml:space="preserve">, nicht aber von einer </w:t>
      </w:r>
      <w:r w:rsidR="003E1CFA">
        <w:t>‚</w:t>
      </w:r>
      <w:r w:rsidR="00C85A6D">
        <w:t>Theo-logik</w:t>
      </w:r>
      <w:r w:rsidR="003E1CFA">
        <w:t>‘</w:t>
      </w:r>
      <w:r w:rsidR="00C85A6D">
        <w:t xml:space="preserve"> </w:t>
      </w:r>
      <w:r w:rsidR="00FE22EC">
        <w:t>bestimmt s</w:t>
      </w:r>
      <w:r w:rsidR="00115738">
        <w:t>ind</w:t>
      </w:r>
      <w:r w:rsidR="00823959">
        <w:t xml:space="preserve">. </w:t>
      </w:r>
      <w:r w:rsidR="00115738">
        <w:t xml:space="preserve">So habe ich in meinem Tagungsbeitrag 2000 schon hervorgehoben: </w:t>
      </w:r>
      <w:r w:rsidR="003E1CFA">
        <w:t>„</w:t>
      </w:r>
      <w:r w:rsidR="00823959">
        <w:t>Ein wesentliches Charakteristikum des Innsbrucker Modells der LehrerInnen/Lehrer- und Seelsorgerinnen-/</w:t>
      </w:r>
      <w:proofErr w:type="spellStart"/>
      <w:r w:rsidR="00823959">
        <w:t>Seelsorgerausbildung</w:t>
      </w:r>
      <w:proofErr w:type="spellEnd"/>
      <w:r w:rsidR="00823959">
        <w:t xml:space="preserve"> besteht darin, dass bereits im Theologiestudium in Zusammenarbeit der unterschiedlichen theologischen Fächer eine theologische Orientierung im Sinne einer kritischen Hermeneutik theologisch relevanter Interaktion</w:t>
      </w:r>
      <w:r w:rsidR="006373BB">
        <w:t>s</w:t>
      </w:r>
      <w:r w:rsidR="00823959">
        <w:t>-und Kommunikationsprozesse in Schule und Gemeinde eingeübt wird.“</w:t>
      </w:r>
      <w:r w:rsidR="00823959">
        <w:rPr>
          <w:rStyle w:val="Funotenzeichen"/>
        </w:rPr>
        <w:footnoteReference w:id="9"/>
      </w:r>
      <w:r w:rsidR="00823959">
        <w:t xml:space="preserve"> </w:t>
      </w:r>
      <w:r w:rsidR="00C85A6D">
        <w:t xml:space="preserve">Auf das engere Feld der </w:t>
      </w:r>
      <w:r w:rsidR="00625AD1">
        <w:t xml:space="preserve">Religionsdidaktik bezogen bedeutet das: </w:t>
      </w:r>
      <w:r w:rsidR="006373BB">
        <w:t xml:space="preserve">Vor der unmittelbaren Prozessplanung </w:t>
      </w:r>
      <w:r w:rsidR="00027F3C">
        <w:t xml:space="preserve">von Religionsunterricht </w:t>
      </w:r>
      <w:r w:rsidR="00A17029">
        <w:t xml:space="preserve">(RU) </w:t>
      </w:r>
      <w:r w:rsidR="00625AD1">
        <w:t>sollte</w:t>
      </w:r>
      <w:r w:rsidR="006373BB">
        <w:t xml:space="preserve"> eine</w:t>
      </w:r>
      <w:r w:rsidR="00625AD1">
        <w:t xml:space="preserve"> grundsätzlichere</w:t>
      </w:r>
      <w:r w:rsidR="006373BB">
        <w:t xml:space="preserve"> theologisch-d</w:t>
      </w:r>
      <w:r w:rsidR="00C85A6D">
        <w:t>idaktische Orientierung erlernt werden</w:t>
      </w:r>
      <w:r w:rsidR="006373BB">
        <w:t xml:space="preserve">, in der </w:t>
      </w:r>
      <w:r w:rsidR="00625AD1">
        <w:t xml:space="preserve">Schul- und </w:t>
      </w:r>
      <w:r w:rsidR="006373BB">
        <w:t xml:space="preserve">Bildungszusammenhänge (auch) </w:t>
      </w:r>
      <w:r w:rsidR="004B5ED9">
        <w:t>in ihrer theologischen Bedeutung</w:t>
      </w:r>
      <w:r w:rsidR="006373BB">
        <w:t xml:space="preserve"> erkannt werden. Dies wird in Kooperativen Seminaren </w:t>
      </w:r>
      <w:r w:rsidR="00115738">
        <w:t xml:space="preserve">in der gemeinsamen Arbeit mit anderen </w:t>
      </w:r>
      <w:proofErr w:type="spellStart"/>
      <w:r w:rsidR="00115738">
        <w:t>FachvertreterInnen</w:t>
      </w:r>
      <w:proofErr w:type="spellEnd"/>
      <w:r w:rsidR="00115738">
        <w:t xml:space="preserve"> (beispielsweise aus der Systematischen Theologie oder den Bibelwissenschaften) eingeübt. </w:t>
      </w:r>
      <w:r w:rsidR="00C85A6D">
        <w:t>Al</w:t>
      </w:r>
      <w:r w:rsidR="00F46007">
        <w:t>s Beispiele führe ich im Beitrag aus 2000</w:t>
      </w:r>
      <w:r w:rsidR="00C85A6D">
        <w:t xml:space="preserve"> an</w:t>
      </w:r>
      <w:r w:rsidR="006373BB">
        <w:t xml:space="preserve">, dass </w:t>
      </w:r>
      <w:r w:rsidR="00746120">
        <w:t xml:space="preserve">in kooperativen Seminaren </w:t>
      </w:r>
      <w:r w:rsidR="006373BB">
        <w:t>Schulbauten trinitätstheologisch untersucht oder der Konflikt in eine</w:t>
      </w:r>
      <w:r w:rsidR="00625AD1">
        <w:t>r</w:t>
      </w:r>
      <w:r w:rsidR="00746120">
        <w:t xml:space="preserve"> Wohngemeinschaft aus </w:t>
      </w:r>
      <w:proofErr w:type="spellStart"/>
      <w:r w:rsidR="00746120">
        <w:t>ekklesiologischer</w:t>
      </w:r>
      <w:proofErr w:type="spellEnd"/>
      <w:r w:rsidR="006373BB">
        <w:t xml:space="preserve"> Per</w:t>
      </w:r>
      <w:r w:rsidR="00197E2C">
        <w:t>spektive heraus diskutiert wu</w:t>
      </w:r>
      <w:r w:rsidR="00C85A6D">
        <w:t>rd</w:t>
      </w:r>
      <w:r w:rsidR="00197E2C">
        <w:t>en</w:t>
      </w:r>
      <w:r w:rsidR="006A6624">
        <w:t xml:space="preserve">. </w:t>
      </w:r>
      <w:r w:rsidR="00C85A6D">
        <w:t xml:space="preserve">Englert </w:t>
      </w:r>
      <w:r w:rsidR="006A6624">
        <w:t xml:space="preserve">greift dies </w:t>
      </w:r>
      <w:r w:rsidR="00C85A6D">
        <w:t>in der Überschrift zu seinen Anme</w:t>
      </w:r>
      <w:r w:rsidR="00197E2C">
        <w:t>rkungen auch provokant auf: „</w:t>
      </w:r>
      <w:r w:rsidR="00EC3F50">
        <w:t>Müssen zukünftige Religionslehrerinnen und Religionslehrer wissen, was die Situation in ihrer Wohngemeinschaft mit Ekklesiologie zu tun hat?</w:t>
      </w:r>
      <w:r w:rsidR="00197E2C">
        <w:t>“</w:t>
      </w:r>
      <w:r w:rsidR="00197E2C">
        <w:rPr>
          <w:rStyle w:val="Funotenzeichen"/>
        </w:rPr>
        <w:footnoteReference w:id="10"/>
      </w:r>
      <w:r w:rsidR="006373BB">
        <w:t xml:space="preserve"> </w:t>
      </w:r>
      <w:r w:rsidR="006A6624">
        <w:t xml:space="preserve">Um auf die Frage von Englert zu antworten: </w:t>
      </w:r>
      <w:r w:rsidR="006373BB">
        <w:t xml:space="preserve">Es geht darum, die </w:t>
      </w:r>
      <w:r w:rsidR="00BC5398">
        <w:t>‚</w:t>
      </w:r>
      <w:r w:rsidR="006373BB">
        <w:t>impliziten Theologien</w:t>
      </w:r>
      <w:r w:rsidR="00BC5398">
        <w:t>‘</w:t>
      </w:r>
      <w:r w:rsidR="006373BB">
        <w:t xml:space="preserve"> </w:t>
      </w:r>
      <w:r w:rsidR="00C85A6D">
        <w:t>zu explizieren, die spezifis</w:t>
      </w:r>
      <w:r w:rsidR="005F4441">
        <w:t>che</w:t>
      </w:r>
      <w:r w:rsidR="00F37691">
        <w:t>n</w:t>
      </w:r>
      <w:r w:rsidR="005F4441">
        <w:t xml:space="preserve"> menschliche</w:t>
      </w:r>
      <w:r w:rsidR="00F37691">
        <w:t>n</w:t>
      </w:r>
      <w:r w:rsidR="005F4441">
        <w:t xml:space="preserve"> (Interaktions-)Z</w:t>
      </w:r>
      <w:r w:rsidR="00C85A6D">
        <w:t xml:space="preserve">usammenhänge </w:t>
      </w:r>
      <w:r w:rsidR="00E12926">
        <w:t xml:space="preserve">im Hinblick auf ihre Lebensrelevanz in einem umfassenden Sinne verstehen lassen. </w:t>
      </w:r>
      <w:r w:rsidR="006373BB">
        <w:t xml:space="preserve">Dies betrifft </w:t>
      </w:r>
      <w:r w:rsidR="00E12926">
        <w:t xml:space="preserve">im schulischen Lernzusammenhang </w:t>
      </w:r>
      <w:r w:rsidR="006373BB">
        <w:t xml:space="preserve">besonders auch Konfliktsituationen. </w:t>
      </w:r>
      <w:r w:rsidR="00F46007">
        <w:t xml:space="preserve">Im Beitrag aus 2000 habe ich dazu ausgeführt: </w:t>
      </w:r>
      <w:r w:rsidR="00BC5398">
        <w:t>„</w:t>
      </w:r>
      <w:r w:rsidR="006373BB">
        <w:t xml:space="preserve">Der </w:t>
      </w:r>
      <w:r w:rsidR="00A46D47">
        <w:t xml:space="preserve">‚Blick von der Sache her‘, also etwa aus einer systematisch-theologischen oder bibeltheologischen Perspektive, vollzieht sich </w:t>
      </w:r>
      <w:r w:rsidR="00E12926">
        <w:t xml:space="preserve">somit </w:t>
      </w:r>
      <w:r w:rsidR="00A46D47">
        <w:t xml:space="preserve">nicht in </w:t>
      </w:r>
      <w:r w:rsidR="00E12926">
        <w:t>erster Linie als</w:t>
      </w:r>
      <w:r w:rsidR="00A46D47">
        <w:t xml:space="preserve"> Übersetzung theologischer Inhalte und Methoden in die Praxis hinein, </w:t>
      </w:r>
      <w:r w:rsidR="00A46D47">
        <w:lastRenderedPageBreak/>
        <w:t>sondern als Schärfung der jeweils spezifischen theologischen Aufmerksamkeit in einem bestimmten Bereich oder auf eine bestimmte Ebene hin</w:t>
      </w:r>
      <w:r w:rsidR="00BB4D8F">
        <w:t>“</w:t>
      </w:r>
      <w:r w:rsidR="00BB4D8F">
        <w:rPr>
          <w:rStyle w:val="Funotenzeichen"/>
        </w:rPr>
        <w:footnoteReference w:id="11"/>
      </w:r>
      <w:r w:rsidR="00A46D47">
        <w:t>.</w:t>
      </w:r>
      <w:r w:rsidR="005F4441">
        <w:t xml:space="preserve"> Dabei spielen</w:t>
      </w:r>
      <w:r w:rsidR="00BB4D8F">
        <w:t xml:space="preserve"> korrelationskritische Über</w:t>
      </w:r>
      <w:r w:rsidR="00625AD1">
        <w:t>legungen eine wichtige Rolle: Im IMRA</w:t>
      </w:r>
      <w:r w:rsidR="00BB4D8F">
        <w:t xml:space="preserve"> geht </w:t>
      </w:r>
      <w:r w:rsidR="00625AD1">
        <w:t xml:space="preserve">es </w:t>
      </w:r>
      <w:r w:rsidR="00BB4D8F">
        <w:t xml:space="preserve">nicht nur um die Kritik </w:t>
      </w:r>
      <w:r w:rsidR="00625AD1">
        <w:t xml:space="preserve">an </w:t>
      </w:r>
      <w:r w:rsidR="00BB4D8F">
        <w:t xml:space="preserve">einer Anwendungs- bzw. Übersetzungslogik des Glaubens in das Leben hinein, sondern auch um das Bewusstsein für traditionelle oder moderne </w:t>
      </w:r>
      <w:proofErr w:type="spellStart"/>
      <w:r w:rsidR="00BB4D8F">
        <w:t>Unkorrelierbarkeiten</w:t>
      </w:r>
      <w:proofErr w:type="spellEnd"/>
      <w:r w:rsidR="00CC4B43">
        <w:t xml:space="preserve">, wie sie K. Hemmerle im </w:t>
      </w:r>
      <w:r w:rsidR="00A17029">
        <w:t>„</w:t>
      </w:r>
      <w:proofErr w:type="spellStart"/>
      <w:r w:rsidR="00CC4B43">
        <w:t>Ausgespanntsein</w:t>
      </w:r>
      <w:proofErr w:type="spellEnd"/>
      <w:r w:rsidR="00CC4B43">
        <w:t xml:space="preserve"> Jesu am Kreuz</w:t>
      </w:r>
      <w:r w:rsidR="00A17029">
        <w:t>“</w:t>
      </w:r>
      <w:r w:rsidR="00CC4B43">
        <w:t xml:space="preserve"> in der absoluten Nähe und gleichzeitigen Ferne Gottes sieht</w:t>
      </w:r>
      <w:r w:rsidR="00CC4B43">
        <w:rPr>
          <w:rStyle w:val="Funotenzeichen"/>
        </w:rPr>
        <w:footnoteReference w:id="12"/>
      </w:r>
      <w:r w:rsidR="005F4441">
        <w:t xml:space="preserve"> </w:t>
      </w:r>
      <w:r w:rsidR="00CC4B43">
        <w:t>und wie sie die theologische Aufmerksamkeit auf Menschen und zwischenmenschliche Beziehungen, aber auch auf gesellschaftliche Situationen</w:t>
      </w:r>
      <w:r w:rsidR="00625AD1">
        <w:t>,</w:t>
      </w:r>
      <w:r w:rsidR="00CC4B43">
        <w:t xml:space="preserve"> insgesamt verändert.</w:t>
      </w:r>
      <w:r w:rsidR="005D5EC4">
        <w:t xml:space="preserve"> </w:t>
      </w:r>
      <w:r w:rsidR="00BC5398">
        <w:t>„</w:t>
      </w:r>
      <w:r w:rsidR="004B5ED9">
        <w:t>N</w:t>
      </w:r>
      <w:r w:rsidR="00AB69DE">
        <w:t>icht mehr die Illusion von Ganzheitlichkeit, sondern die Realität bleibend fragmentierter, (selbst-) entfremdeter Subjekte, welche mit ihrer Lebens-und Glaubensgeschichte nicht nur vertraut, sondern auch unvertraut sind, kommt in den Blick. Nicht mehr die Homogenität von Gruppen, Gemeinden bestimmt das Bild, sondern Differenz, Konflikt, Provokation und Bruch werden für das Interaktions- und Kommunikationsgeschehen konstitutiv. Gelingende Konfliktbewältigung ist dann nicht einfach aus der technokratischen Perspektive des Konfliktmanagements her zu sehen, sondern kann auch als Gesch</w:t>
      </w:r>
      <w:r w:rsidR="00E12926">
        <w:t>enk eines – bleibend in</w:t>
      </w:r>
      <w:r w:rsidR="00AB69DE">
        <w:t>homogenen – geschenkten Wir</w:t>
      </w:r>
      <w:r w:rsidR="00AB69DE">
        <w:rPr>
          <w:rStyle w:val="Funotenzeichen"/>
        </w:rPr>
        <w:footnoteReference w:id="13"/>
      </w:r>
      <w:r w:rsidR="004B5ED9">
        <w:t xml:space="preserve"> wahrgenommen werden.“</w:t>
      </w:r>
      <w:r w:rsidR="004B5ED9">
        <w:rPr>
          <w:rStyle w:val="Funotenzeichen"/>
        </w:rPr>
        <w:footnoteReference w:id="14"/>
      </w:r>
    </w:p>
    <w:p w14:paraId="672A041A" w14:textId="7F6FB977" w:rsidR="004B5ED9" w:rsidRDefault="004B5ED9" w:rsidP="00274896">
      <w:r>
        <w:t>Die</w:t>
      </w:r>
      <w:r w:rsidR="00FE22EC">
        <w:t xml:space="preserve"> TZI mit ihrer Ausrichtung auf l</w:t>
      </w:r>
      <w:r>
        <w:t>ebendiges Lernen</w:t>
      </w:r>
      <w:r w:rsidR="00625AD1">
        <w:t xml:space="preserve"> bietet sich als Konzept</w:t>
      </w:r>
      <w:r w:rsidR="000D3925">
        <w:t xml:space="preserve"> an, in dem </w:t>
      </w:r>
      <w:r w:rsidR="008223B6">
        <w:t>anthropologisch-</w:t>
      </w:r>
      <w:r w:rsidR="000D3925">
        <w:t>theologische Aufmerksamkeitslenkung und didak</w:t>
      </w:r>
      <w:r w:rsidR="00E12926">
        <w:t xml:space="preserve">tische Planung und Durchführung </w:t>
      </w:r>
      <w:r w:rsidR="000D3925">
        <w:t xml:space="preserve">vernetzt sind. Die </w:t>
      </w:r>
      <w:r w:rsidR="00FE22EC">
        <w:t xml:space="preserve">Achtung auf die </w:t>
      </w:r>
      <w:r w:rsidR="00BC5398">
        <w:t>‚</w:t>
      </w:r>
      <w:r w:rsidR="000D3925">
        <w:t>dynamische Balance</w:t>
      </w:r>
      <w:r w:rsidR="00BC5398">
        <w:t>‘</w:t>
      </w:r>
      <w:r w:rsidR="005F4441">
        <w:t xml:space="preserve"> zwischen Sachebene (Es</w:t>
      </w:r>
      <w:r w:rsidR="000D3925">
        <w:t>), persönlicher Betroffenheit (Ich), Interaktion (Wir)</w:t>
      </w:r>
      <w:r w:rsidR="00FE22EC">
        <w:t xml:space="preserve"> und Kontext (</w:t>
      </w:r>
      <w:proofErr w:type="spellStart"/>
      <w:r w:rsidR="00FE22EC">
        <w:t>Globe</w:t>
      </w:r>
      <w:proofErr w:type="spellEnd"/>
      <w:r w:rsidR="00FE22EC">
        <w:t>) deckt</w:t>
      </w:r>
      <w:r w:rsidR="00010A1F">
        <w:t xml:space="preserve"> mögliche</w:t>
      </w:r>
      <w:r w:rsidR="000D3925">
        <w:t xml:space="preserve"> Fehlformen des </w:t>
      </w:r>
      <w:r w:rsidR="00010A1F">
        <w:t xml:space="preserve">religiösen Lernens </w:t>
      </w:r>
      <w:r w:rsidR="00FE22EC">
        <w:t xml:space="preserve">auf, </w:t>
      </w:r>
      <w:r w:rsidR="00010A1F">
        <w:t>wie sie u.a.</w:t>
      </w:r>
      <w:r w:rsidR="000D3925">
        <w:t xml:space="preserve"> im </w:t>
      </w:r>
      <w:r w:rsidR="005F4441">
        <w:t>neuscholastisch ausgerichteten</w:t>
      </w:r>
      <w:r w:rsidR="00010A1F">
        <w:t xml:space="preserve"> </w:t>
      </w:r>
      <w:r w:rsidR="00BC5398">
        <w:t>‚</w:t>
      </w:r>
      <w:r w:rsidR="000D3925">
        <w:t>toten</w:t>
      </w:r>
      <w:r w:rsidR="00BC5398">
        <w:t>‘</w:t>
      </w:r>
      <w:r w:rsidR="000D3925">
        <w:t xml:space="preserve"> Stoff-Inhaltslernen</w:t>
      </w:r>
      <w:r w:rsidR="00010A1F">
        <w:t xml:space="preserve"> des </w:t>
      </w:r>
      <w:r w:rsidR="00E12926">
        <w:t>katechetischen RU</w:t>
      </w:r>
      <w:r w:rsidR="00A17029">
        <w:t>s</w:t>
      </w:r>
      <w:r w:rsidR="00E12926">
        <w:t xml:space="preserve"> repräsentiert war</w:t>
      </w:r>
      <w:r w:rsidR="00010A1F">
        <w:t xml:space="preserve">en; sie entlarvt aber auch den </w:t>
      </w:r>
      <w:r w:rsidR="000D3925">
        <w:t>vorwiegend auf den E</w:t>
      </w:r>
      <w:r w:rsidR="00E12926">
        <w:t xml:space="preserve">inzelnen </w:t>
      </w:r>
      <w:r w:rsidR="00010A1F">
        <w:t xml:space="preserve">und die Gruppe </w:t>
      </w:r>
      <w:r w:rsidR="00E12926">
        <w:t>bezogenen</w:t>
      </w:r>
      <w:r w:rsidR="000D3925">
        <w:t xml:space="preserve"> problemorientie</w:t>
      </w:r>
      <w:r w:rsidR="00E12926">
        <w:t xml:space="preserve">rten bzw. therapeutischen RU </w:t>
      </w:r>
      <w:r w:rsidR="00F15AFD">
        <w:t>als einseitige</w:t>
      </w:r>
      <w:r w:rsidR="00010A1F">
        <w:t xml:space="preserve"> Konzept</w:t>
      </w:r>
      <w:r w:rsidR="00F15AFD">
        <w:t>ion</w:t>
      </w:r>
      <w:r w:rsidR="000D3925">
        <w:t xml:space="preserve">. Solchen Extremformen gegenüber baut R. Cohns wertebezogener Ansatz </w:t>
      </w:r>
      <w:r w:rsidR="00FE22EC">
        <w:t xml:space="preserve">auf eine ständige </w:t>
      </w:r>
      <w:r w:rsidR="00A17029">
        <w:t>Bewegung zwischen den Faktoren l</w:t>
      </w:r>
      <w:r w:rsidR="00FE22EC">
        <w:t xml:space="preserve">ebendigen Lernens; er fördert die </w:t>
      </w:r>
      <w:r w:rsidR="000D3925">
        <w:t>Selbstleitung (Chairperson) alle</w:t>
      </w:r>
      <w:r w:rsidR="008223B6">
        <w:t>r</w:t>
      </w:r>
      <w:r w:rsidR="00FE22EC">
        <w:t xml:space="preserve"> interagierenden Subjekte und macht die </w:t>
      </w:r>
      <w:r w:rsidR="000D3925">
        <w:t xml:space="preserve">Störungspriorität </w:t>
      </w:r>
      <w:r w:rsidR="00FE22EC">
        <w:t>bewusst</w:t>
      </w:r>
      <w:r w:rsidR="00A17029">
        <w:t>. W</w:t>
      </w:r>
      <w:r w:rsidR="00FE22EC">
        <w:t>ie der Begriff</w:t>
      </w:r>
      <w:r w:rsidR="00A17029">
        <w:t xml:space="preserve"> </w:t>
      </w:r>
      <w:r w:rsidR="00FE22EC">
        <w:t>schon sagt</w:t>
      </w:r>
      <w:r w:rsidR="005F4441">
        <w:t>,</w:t>
      </w:r>
      <w:r w:rsidR="00FE22EC">
        <w:t xml:space="preserve"> setzt </w:t>
      </w:r>
      <w:r w:rsidR="00A17029">
        <w:t xml:space="preserve">TZI </w:t>
      </w:r>
      <w:r w:rsidR="00FE22EC">
        <w:t xml:space="preserve">auf </w:t>
      </w:r>
      <w:r w:rsidR="000D3925">
        <w:t>Themenzentrierung</w:t>
      </w:r>
      <w:r w:rsidR="00FE22EC">
        <w:t xml:space="preserve"> beim Lernen</w:t>
      </w:r>
      <w:r w:rsidR="000D3925">
        <w:t>.</w:t>
      </w:r>
      <w:r w:rsidR="00FE22EC">
        <w:t xml:space="preserve"> Deshalb findet im IMRA </w:t>
      </w:r>
      <w:r w:rsidR="00DF4FCE">
        <w:t>das Einüben theologisch-kreativer Sprachspiele im Hinblick auf Themenformulierungen</w:t>
      </w:r>
      <w:r w:rsidR="00A17029">
        <w:t xml:space="preserve"> besondere Aufmerksamkeit. Es geht um</w:t>
      </w:r>
      <w:r w:rsidR="00DF4FCE">
        <w:t xml:space="preserve"> </w:t>
      </w:r>
      <w:r w:rsidR="00FE22EC">
        <w:t xml:space="preserve">Themen, </w:t>
      </w:r>
      <w:r w:rsidR="00DF4FCE">
        <w:t xml:space="preserve">die zum Brennpunkt lebendigen Lernens und </w:t>
      </w:r>
      <w:r w:rsidR="00FE22EC">
        <w:t xml:space="preserve">unterrichtlichen </w:t>
      </w:r>
      <w:r w:rsidR="00DF4FCE">
        <w:t>Handelns w</w:t>
      </w:r>
      <w:r w:rsidR="00FE22EC">
        <w:t xml:space="preserve">erden und aus denen heraus die </w:t>
      </w:r>
      <w:r w:rsidR="00BC5398">
        <w:t>‚</w:t>
      </w:r>
      <w:r w:rsidR="00DF4FCE">
        <w:t>richtigen</w:t>
      </w:r>
      <w:r w:rsidR="00BC5398">
        <w:t>‘</w:t>
      </w:r>
      <w:r w:rsidR="00DF4FCE">
        <w:t xml:space="preserve"> Sozial-bzw. Arbeitsformen, Methoden und </w:t>
      </w:r>
      <w:r w:rsidR="00FE22EC">
        <w:t>Medien gesetzt</w:t>
      </w:r>
      <w:r w:rsidR="00DF4FCE">
        <w:t xml:space="preserve"> werden. </w:t>
      </w:r>
    </w:p>
    <w:p w14:paraId="672A041B" w14:textId="7C2B0449" w:rsidR="00DF4FCE" w:rsidRDefault="00DF4FCE" w:rsidP="00274896">
      <w:r>
        <w:t xml:space="preserve">Eine besondere </w:t>
      </w:r>
      <w:r w:rsidR="008223B6">
        <w:t xml:space="preserve">Herausforderung stellt </w:t>
      </w:r>
      <w:r w:rsidR="008223B6" w:rsidRPr="008223B6">
        <w:t xml:space="preserve">im Kontext von Schule und Unterricht </w:t>
      </w:r>
      <w:r w:rsidR="00746120">
        <w:t>die Vorstellung vom p</w:t>
      </w:r>
      <w:r>
        <w:t>artizipierende</w:t>
      </w:r>
      <w:r w:rsidR="008223B6">
        <w:t>n</w:t>
      </w:r>
      <w:r>
        <w:t xml:space="preserve"> Leiten</w:t>
      </w:r>
      <w:r w:rsidR="008223B6">
        <w:t xml:space="preserve"> dar, das</w:t>
      </w:r>
      <w:r>
        <w:t xml:space="preserve"> mit</w:t>
      </w:r>
      <w:r w:rsidR="008223B6">
        <w:t xml:space="preserve"> dem TZI Konzept verbunden ist</w:t>
      </w:r>
      <w:r>
        <w:t>.</w:t>
      </w:r>
      <w:r w:rsidR="008223B6">
        <w:t xml:space="preserve"> </w:t>
      </w:r>
      <w:r w:rsidR="00BC5398">
        <w:t>„</w:t>
      </w:r>
      <w:r>
        <w:t>Ein solches partizipierende</w:t>
      </w:r>
      <w:r w:rsidR="005F4441">
        <w:t>s</w:t>
      </w:r>
      <w:r>
        <w:t xml:space="preserve"> Leitungskonzept führt nicht zur Egalisierung der jeweils spezifischen Rollen; es geht ja gerade darum, sich mit der jeweiligen Kompetenz, im Falle von Lehrerinnen und Lehrern also mit dem fachlichen und didaktischen Know-how einzubringen, das aber nicht den anderen überstülpend oder sie</w:t>
      </w:r>
      <w:r w:rsidR="00FE22EC">
        <w:t xml:space="preserve"> </w:t>
      </w:r>
      <w:r>
        <w:t>versorgend, sondern in einem menschen-, sach-</w:t>
      </w:r>
      <w:r w:rsidR="005F4441">
        <w:t xml:space="preserve"> </w:t>
      </w:r>
      <w:r>
        <w:t xml:space="preserve">und kontextgerechten </w:t>
      </w:r>
      <w:proofErr w:type="spellStart"/>
      <w:r>
        <w:t>Mitsein</w:t>
      </w:r>
      <w:proofErr w:type="spellEnd"/>
      <w:r>
        <w:t>, zur Verfügung zu stellen.“</w:t>
      </w:r>
      <w:r>
        <w:rPr>
          <w:rStyle w:val="Funotenzeichen"/>
        </w:rPr>
        <w:footnoteReference w:id="15"/>
      </w:r>
    </w:p>
    <w:p w14:paraId="672A041C" w14:textId="3B99A5F0" w:rsidR="00112CE5" w:rsidRDefault="00212B3B" w:rsidP="00112CE5">
      <w:r>
        <w:lastRenderedPageBreak/>
        <w:t xml:space="preserve">Im Beitrag wird in acht Schemen eine Übersicht zu den wichtigsten hermeneutischen und didaktischen Perspektiven und deren Abgrenzung </w:t>
      </w:r>
      <w:r w:rsidR="00854768">
        <w:t>zu</w:t>
      </w:r>
      <w:r>
        <w:t xml:space="preserve"> anderen Konzepten geboten. Ich kann hier nur zwei Schemen herausgreifen</w:t>
      </w:r>
      <w:r w:rsidR="00854768">
        <w:t>;</w:t>
      </w:r>
      <w:r>
        <w:t xml:space="preserve"> das der Differenzhermeneutik zur Lenkung der theologischen Aufmerksamkeit und das der theologisch-didaktischen Orientierung und Prozessplanung.</w:t>
      </w:r>
    </w:p>
    <w:p w14:paraId="672A041D" w14:textId="77777777" w:rsidR="00112CE5" w:rsidRDefault="00112CE5" w:rsidP="00112CE5">
      <w:r w:rsidRPr="00112CE5">
        <w:rPr>
          <w:i/>
        </w:rPr>
        <w:t xml:space="preserve">Erstes </w:t>
      </w:r>
      <w:r w:rsidR="00A17029" w:rsidRPr="00112CE5">
        <w:rPr>
          <w:i/>
        </w:rPr>
        <w:t xml:space="preserve">Schema </w:t>
      </w:r>
      <w:r>
        <w:rPr>
          <w:i/>
        </w:rPr>
        <w:t xml:space="preserve">hier </w:t>
      </w:r>
      <w:r w:rsidR="00A17029" w:rsidRPr="00112CE5">
        <w:rPr>
          <w:i/>
        </w:rPr>
        <w:t>einfügen (Schema 5)</w:t>
      </w:r>
    </w:p>
    <w:p w14:paraId="672A041E" w14:textId="77777777" w:rsidR="00A17029" w:rsidRPr="00112CE5" w:rsidRDefault="00112CE5" w:rsidP="00112CE5">
      <w:r>
        <w:t xml:space="preserve">Zweites </w:t>
      </w:r>
      <w:r w:rsidR="00A17029" w:rsidRPr="00112CE5">
        <w:rPr>
          <w:i/>
        </w:rPr>
        <w:t xml:space="preserve">Schema </w:t>
      </w:r>
      <w:r>
        <w:rPr>
          <w:i/>
        </w:rPr>
        <w:t xml:space="preserve">hier </w:t>
      </w:r>
      <w:r w:rsidR="00A17029" w:rsidRPr="00112CE5">
        <w:rPr>
          <w:i/>
        </w:rPr>
        <w:t>einfügen (Schema 1)</w:t>
      </w:r>
    </w:p>
    <w:p w14:paraId="672A041F" w14:textId="367EBC6F" w:rsidR="0096735D" w:rsidRDefault="00010A1F">
      <w:r>
        <w:t xml:space="preserve">Wie bereits erwähnt, schrieb </w:t>
      </w:r>
      <w:r w:rsidR="00212B3B">
        <w:t xml:space="preserve">R. </w:t>
      </w:r>
      <w:r>
        <w:t>Englert zum</w:t>
      </w:r>
      <w:r w:rsidR="008223B6">
        <w:t xml:space="preserve"> IMRA</w:t>
      </w:r>
      <w:r w:rsidR="00212B3B">
        <w:t xml:space="preserve"> wohlwollend-kritische Anmerkungen</w:t>
      </w:r>
      <w:r w:rsidR="00D203C1">
        <w:t xml:space="preserve">. </w:t>
      </w:r>
      <w:r w:rsidR="005A33A8">
        <w:t>Er bezeichnet es als</w:t>
      </w:r>
      <w:r w:rsidR="008223B6">
        <w:t xml:space="preserve"> eine</w:t>
      </w:r>
      <w:r w:rsidR="005A33A8">
        <w:t xml:space="preserve"> „Sternstunde“ des Theologisierens, bei der er </w:t>
      </w:r>
      <w:r>
        <w:t>„</w:t>
      </w:r>
      <w:r w:rsidR="005A33A8">
        <w:t>gerne anwese</w:t>
      </w:r>
      <w:r w:rsidR="00746120">
        <w:t>nd</w:t>
      </w:r>
      <w:r>
        <w:t>“</w:t>
      </w:r>
      <w:r w:rsidR="00746120">
        <w:t xml:space="preserve"> gewesen wäre, wenn Studierende und Lehrende </w:t>
      </w:r>
      <w:r w:rsidR="008D76C7">
        <w:t>„</w:t>
      </w:r>
      <w:r w:rsidR="005A33A8">
        <w:t>am M</w:t>
      </w:r>
      <w:r w:rsidR="00746120">
        <w:t xml:space="preserve">aterial konkret gelebten Lebens </w:t>
      </w:r>
      <w:r w:rsidR="005A33A8">
        <w:t>arbeite</w:t>
      </w:r>
      <w:r w:rsidR="00746120">
        <w:t>n</w:t>
      </w:r>
      <w:r w:rsidR="005F4441">
        <w:t xml:space="preserve"> </w:t>
      </w:r>
      <w:r w:rsidR="005A33A8">
        <w:t>-</w:t>
      </w:r>
      <w:r w:rsidR="005F4441">
        <w:t xml:space="preserve"> </w:t>
      </w:r>
      <w:r w:rsidR="005A33A8">
        <w:t>zum Beispiel</w:t>
      </w:r>
      <w:r w:rsidR="005F4441">
        <w:t xml:space="preserve"> </w:t>
      </w:r>
      <w:r w:rsidR="005A33A8">
        <w:t>an einer Architektur</w:t>
      </w:r>
      <w:r w:rsidR="008223B6">
        <w:t>,</w:t>
      </w:r>
      <w:r w:rsidR="005A33A8">
        <w:t xml:space="preserve"> die Menschen den Horizont zustellt.“</w:t>
      </w:r>
      <w:r w:rsidR="005A33A8">
        <w:rPr>
          <w:rStyle w:val="Funotenzeichen"/>
        </w:rPr>
        <w:footnoteReference w:id="16"/>
      </w:r>
      <w:r w:rsidR="005A33A8">
        <w:t xml:space="preserve"> Englert sieht den grundsätzlichen</w:t>
      </w:r>
      <w:r w:rsidR="00EC3F50">
        <w:t xml:space="preserve"> Perspektivenwechsel des IMRA </w:t>
      </w:r>
      <w:r w:rsidR="00854768">
        <w:t>„</w:t>
      </w:r>
      <w:r w:rsidR="005A33A8">
        <w:t xml:space="preserve">von einer Theologie, die Inhalte, wie </w:t>
      </w:r>
      <w:r w:rsidR="00854768">
        <w:t>‚</w:t>
      </w:r>
      <w:r w:rsidR="005A33A8">
        <w:t>lebendig‘ auch immer, bloß</w:t>
      </w:r>
      <w:r w:rsidR="005A33A8">
        <w:rPr>
          <w:i/>
        </w:rPr>
        <w:t xml:space="preserve"> vermittelt,</w:t>
      </w:r>
      <w:r w:rsidR="005A33A8">
        <w:t xml:space="preserve"> zu einer Theologie, die der theologischen </w:t>
      </w:r>
      <w:r w:rsidR="005F4441">
        <w:t>Relevanz gelebten Glaubens nach</w:t>
      </w:r>
      <w:r w:rsidR="005A33A8">
        <w:t>spürt: in der Biografie konkreter Subjekte, in den Interaktionen konkreter Gruppen, in den Lebensbedingung</w:t>
      </w:r>
      <w:r w:rsidR="00594A38">
        <w:t>en einer konkreten Gesellschaft; die hier und jetzt theologisch wirklich bedeutsamen Inhalte sind auf diese Weise immer wieder neu erst</w:t>
      </w:r>
      <w:r w:rsidR="008223B6">
        <w:rPr>
          <w:i/>
        </w:rPr>
        <w:t xml:space="preserve"> </w:t>
      </w:r>
      <w:proofErr w:type="spellStart"/>
      <w:r w:rsidR="008223B6">
        <w:rPr>
          <w:i/>
        </w:rPr>
        <w:t>herauszu</w:t>
      </w:r>
      <w:r w:rsidR="00594A38">
        <w:rPr>
          <w:i/>
        </w:rPr>
        <w:t>präparieren</w:t>
      </w:r>
      <w:proofErr w:type="spellEnd"/>
      <w:r w:rsidR="00F5793E">
        <w:t>“</w:t>
      </w:r>
      <w:r w:rsidR="00F5793E">
        <w:rPr>
          <w:rStyle w:val="Funotenzeichen"/>
        </w:rPr>
        <w:footnoteReference w:id="17"/>
      </w:r>
      <w:r w:rsidR="00594A38">
        <w:rPr>
          <w:i/>
        </w:rPr>
        <w:t>.</w:t>
      </w:r>
      <w:r w:rsidR="00EC3F50">
        <w:t xml:space="preserve"> Dem</w:t>
      </w:r>
      <w:r>
        <w:t xml:space="preserve"> möglichen Einwand</w:t>
      </w:r>
      <w:r w:rsidR="00594A38">
        <w:t>, dass weitgehend entfremdeten SchülerInnen eine solche Interpretation des gelebten Lebens im Licht des Gla</w:t>
      </w:r>
      <w:r w:rsidR="00EC3F50">
        <w:t xml:space="preserve">ubens nicht zuzumuten sei, hält Englert </w:t>
      </w:r>
      <w:r w:rsidR="00854768">
        <w:t>ent</w:t>
      </w:r>
      <w:r w:rsidR="00EC3F50">
        <w:t>gegen</w:t>
      </w:r>
      <w:r w:rsidR="00594A38">
        <w:t xml:space="preserve">, </w:t>
      </w:r>
      <w:r w:rsidR="005A09B7">
        <w:t xml:space="preserve">dass es sich beim IMRA </w:t>
      </w:r>
      <w:r w:rsidR="00594A38">
        <w:t>um die Kompetenzentwicklung von künft</w:t>
      </w:r>
      <w:r w:rsidR="008223B6">
        <w:t xml:space="preserve">igen </w:t>
      </w:r>
      <w:proofErr w:type="spellStart"/>
      <w:r w:rsidR="008223B6">
        <w:t>ReligionslehrerInnen</w:t>
      </w:r>
      <w:proofErr w:type="spellEnd"/>
      <w:r w:rsidR="008223B6">
        <w:t xml:space="preserve"> </w:t>
      </w:r>
      <w:r>
        <w:t xml:space="preserve">und nicht von SchülerInnen </w:t>
      </w:r>
      <w:r w:rsidR="008223B6">
        <w:t>handle</w:t>
      </w:r>
      <w:r w:rsidR="00594A38">
        <w:t xml:space="preserve">. </w:t>
      </w:r>
      <w:r>
        <w:t>Erstere</w:t>
      </w:r>
      <w:r w:rsidR="00594A38">
        <w:t xml:space="preserve"> sollten entdecken, dass Theologie etwas mit uns und mit den Beziehungen</w:t>
      </w:r>
      <w:r w:rsidR="005F4441">
        <w:t>,</w:t>
      </w:r>
      <w:r w:rsidR="00594A38">
        <w:t xml:space="preserve"> in denen wir stehen und den Verhältnissen</w:t>
      </w:r>
      <w:r w:rsidR="005F4441">
        <w:t>,</w:t>
      </w:r>
      <w:r w:rsidR="00594A38">
        <w:t xml:space="preserve"> in denen wir leben</w:t>
      </w:r>
      <w:r w:rsidR="005F4441">
        <w:t>,</w:t>
      </w:r>
      <w:r w:rsidR="00594A38">
        <w:t xml:space="preserve"> zu tun habe. </w:t>
      </w:r>
      <w:r w:rsidR="003B6C22">
        <w:t>Englert macht</w:t>
      </w:r>
      <w:r w:rsidR="00594A38">
        <w:t xml:space="preserve"> deutlich,</w:t>
      </w:r>
      <w:r w:rsidR="003B6C22">
        <w:t xml:space="preserve"> dass das IMR</w:t>
      </w:r>
      <w:r w:rsidR="00F60C4E">
        <w:t>A wieder zu integrieren versucht</w:t>
      </w:r>
      <w:r w:rsidR="003B6C22">
        <w:t xml:space="preserve">, </w:t>
      </w:r>
      <w:r w:rsidR="00854768">
        <w:t>„</w:t>
      </w:r>
      <w:r w:rsidR="003B6C22">
        <w:t>was sich im Zuge wissenschaftlicher Ausdifferenzierung</w:t>
      </w:r>
      <w:r w:rsidR="005F4441">
        <w:t>s</w:t>
      </w:r>
      <w:r w:rsidR="003B6C22">
        <w:t>- und fachlicher</w:t>
      </w:r>
      <w:r w:rsidR="005A09B7">
        <w:t xml:space="preserve"> </w:t>
      </w:r>
      <w:r w:rsidR="00E6141B">
        <w:t>Professionalisierung</w:t>
      </w:r>
      <w:r w:rsidR="003B6C22">
        <w:t>sprozesse voneinander gelöst hat: die biblische, die systematische, die historische und die praktische Theologie, die Fachwissenschaft und die Fachdidaktik, die Theorie und die Praxis religiösen Lernens</w:t>
      </w:r>
      <w:r w:rsidR="00F5793E">
        <w:t>“</w:t>
      </w:r>
      <w:r w:rsidR="00F5793E">
        <w:rPr>
          <w:rStyle w:val="Funotenzeichen"/>
        </w:rPr>
        <w:footnoteReference w:id="18"/>
      </w:r>
      <w:r w:rsidR="003B6C22">
        <w:t xml:space="preserve">. Aber auch das sei für </w:t>
      </w:r>
      <w:r w:rsidR="00854768">
        <w:t>‚</w:t>
      </w:r>
      <w:r w:rsidR="003B6C22">
        <w:t>Scharer</w:t>
      </w:r>
      <w:r w:rsidR="00854768">
        <w:t>‘</w:t>
      </w:r>
      <w:r w:rsidR="003B6C22">
        <w:t xml:space="preserve"> noch zu wenig: </w:t>
      </w:r>
      <w:r w:rsidR="00854768">
        <w:t>„</w:t>
      </w:r>
      <w:r w:rsidR="003B6C22">
        <w:t>Es geht ihm um Themen</w:t>
      </w:r>
      <w:r w:rsidR="0096735D">
        <w:t>, die aus der Praxis des Lebens, Glaubens und Lernens der in einer konkreten Lerngruppe miteinander verbunden</w:t>
      </w:r>
      <w:r w:rsidR="008D76C7">
        <w:t>en</w:t>
      </w:r>
      <w:r w:rsidR="0096735D">
        <w:t xml:space="preserve"> Menschen hervorgehen.“</w:t>
      </w:r>
      <w:r w:rsidR="0096735D">
        <w:rPr>
          <w:rStyle w:val="Funotenzeichen"/>
        </w:rPr>
        <w:footnoteReference w:id="19"/>
      </w:r>
      <w:r w:rsidR="0096735D">
        <w:t xml:space="preserve"> Gerade weil E</w:t>
      </w:r>
      <w:r w:rsidR="00DC4E7F">
        <w:t xml:space="preserve">nglert das IMRA </w:t>
      </w:r>
      <w:r w:rsidR="00854768">
        <w:t>„</w:t>
      </w:r>
      <w:r w:rsidR="0096735D">
        <w:t>so verheißun</w:t>
      </w:r>
      <w:r w:rsidR="005F4441">
        <w:t>gsvoll erscheint“, interessiert</w:t>
      </w:r>
      <w:r w:rsidR="0096735D">
        <w:t xml:space="preserve"> ihn </w:t>
      </w:r>
      <w:r w:rsidR="00854768">
        <w:t>„</w:t>
      </w:r>
      <w:r w:rsidR="0096735D">
        <w:t>auch die Klärung einiger noch offener Fragen“</w:t>
      </w:r>
      <w:r w:rsidR="0096735D">
        <w:rPr>
          <w:rStyle w:val="Funotenzeichen"/>
        </w:rPr>
        <w:footnoteReference w:id="20"/>
      </w:r>
      <w:r w:rsidR="0096735D">
        <w:t xml:space="preserve">: </w:t>
      </w:r>
    </w:p>
    <w:p w14:paraId="672A0420" w14:textId="77777777" w:rsidR="004A1C36" w:rsidRDefault="004A1C36">
      <w:r>
        <w:t xml:space="preserve">- </w:t>
      </w:r>
      <w:r w:rsidR="0096735D">
        <w:t>Führt „das Programm einer theologischen Hermeneutik konkret gelebten Lebens in praxisorientierten Seminaren nicht doch zu einer Vernachlässigung der ‚Kunst des Unterrichtens‘ und zu einem ‚Technologie-Defizit‘ auf Seiten der Studierenden“</w:t>
      </w:r>
      <w:r w:rsidR="00F5793E" w:rsidRPr="00F5793E">
        <w:rPr>
          <w:rStyle w:val="Funotenzeichen"/>
        </w:rPr>
        <w:t xml:space="preserve"> </w:t>
      </w:r>
      <w:r w:rsidR="00F5793E">
        <w:rPr>
          <w:rStyle w:val="Funotenzeichen"/>
        </w:rPr>
        <w:footnoteReference w:id="21"/>
      </w:r>
      <w:r w:rsidR="0096735D">
        <w:t>?</w:t>
      </w:r>
      <w:r>
        <w:t xml:space="preserve"> </w:t>
      </w:r>
    </w:p>
    <w:p w14:paraId="672A0421" w14:textId="729BAF25" w:rsidR="004A1C36" w:rsidRDefault="004A1C36">
      <w:r>
        <w:t xml:space="preserve">- Wie kann ein theologischer </w:t>
      </w:r>
      <w:proofErr w:type="spellStart"/>
      <w:r>
        <w:t>Integralismus</w:t>
      </w:r>
      <w:proofErr w:type="spellEnd"/>
      <w:r>
        <w:t xml:space="preserve"> vermieden werden, der die relative Autonomie der irdischen Wirklichkeiten und damit deren zunächst </w:t>
      </w:r>
      <w:r w:rsidR="00854768">
        <w:t>‚</w:t>
      </w:r>
      <w:r>
        <w:t>weltliche</w:t>
      </w:r>
      <w:r w:rsidR="00854768">
        <w:t>‘</w:t>
      </w:r>
      <w:r>
        <w:t xml:space="preserve"> Deutung voraussetzt?</w:t>
      </w:r>
    </w:p>
    <w:p w14:paraId="672A0422" w14:textId="2BEE3467" w:rsidR="004A1C36" w:rsidRDefault="004A1C36">
      <w:r>
        <w:t>- Wie steht es um die Umsetzbarkeit eines solch anspruchsvollen Konzeptes etwa mit Schüle</w:t>
      </w:r>
      <w:r w:rsidR="00F60C4E">
        <w:t>rInnen in der Grundschule, wo i</w:t>
      </w:r>
      <w:r>
        <w:t>n Proze</w:t>
      </w:r>
      <w:r w:rsidR="00DC4E7F">
        <w:t>ssen „</w:t>
      </w:r>
      <w:r w:rsidR="008D76C7">
        <w:t>‚</w:t>
      </w:r>
      <w:r w:rsidR="00DC4E7F">
        <w:t>kreativen Sprachlernens‘</w:t>
      </w:r>
      <w:r>
        <w:t xml:space="preserve"> so etwas wie ein theologisches </w:t>
      </w:r>
      <w:r>
        <w:lastRenderedPageBreak/>
        <w:t xml:space="preserve">Sprachspiel erst aufgebaut und eingeübt </w:t>
      </w:r>
      <w:r w:rsidR="00F60C4E">
        <w:t>wird</w:t>
      </w:r>
      <w:r>
        <w:t>“</w:t>
      </w:r>
      <w:r>
        <w:rPr>
          <w:rStyle w:val="Funotenzeichen"/>
        </w:rPr>
        <w:footnoteReference w:id="22"/>
      </w:r>
      <w:r w:rsidR="00DC4E7F">
        <w:t xml:space="preserve">, </w:t>
      </w:r>
      <w:r>
        <w:t>wobei Englert der ‚Störungspriorität‘ von TZI große Bedeutung zumisst.</w:t>
      </w:r>
    </w:p>
    <w:p w14:paraId="672A0423" w14:textId="77777777" w:rsidR="00DC4E7F" w:rsidRDefault="00EC3F50">
      <w:r>
        <w:t xml:space="preserve">Blickt </w:t>
      </w:r>
      <w:r w:rsidR="006F7C8C">
        <w:t xml:space="preserve">man </w:t>
      </w:r>
      <w:r>
        <w:t xml:space="preserve">auf </w:t>
      </w:r>
      <w:r w:rsidR="006F7C8C">
        <w:t xml:space="preserve">die Kompetenzen, die im Kontext des IMRA aufgebaut bzw. entfaltet werden, dann sollten künftige </w:t>
      </w:r>
      <w:proofErr w:type="spellStart"/>
      <w:r w:rsidR="006F7C8C">
        <w:t>ReligionslehrerInnen</w:t>
      </w:r>
      <w:proofErr w:type="spellEnd"/>
      <w:r w:rsidR="006F7C8C">
        <w:t xml:space="preserve"> folgendes können:</w:t>
      </w:r>
    </w:p>
    <w:p w14:paraId="672A0424" w14:textId="27DD2DE8" w:rsidR="001B6E1E" w:rsidRDefault="009F3752">
      <w:r>
        <w:t>- Konkrete Lebenszusammenhänge</w:t>
      </w:r>
      <w:r w:rsidR="00477C5B">
        <w:t xml:space="preserve">, </w:t>
      </w:r>
      <w:r>
        <w:t xml:space="preserve">Lernprozesse, </w:t>
      </w:r>
      <w:r w:rsidR="00477C5B">
        <w:t>(</w:t>
      </w:r>
      <w:proofErr w:type="spellStart"/>
      <w:r w:rsidR="00477C5B">
        <w:t>konfliktive</w:t>
      </w:r>
      <w:proofErr w:type="spellEnd"/>
      <w:r w:rsidR="00477C5B">
        <w:t>) Interaktionen, St</w:t>
      </w:r>
      <w:r>
        <w:t xml:space="preserve">rukturen und Systeme neben ihrer pädagogisch-didaktischen, psychologischen, soziologischen Bedeutung auch aus einer </w:t>
      </w:r>
      <w:r w:rsidR="00477C5B">
        <w:t>theologischen</w:t>
      </w:r>
      <w:r>
        <w:t xml:space="preserve"> Perspektive heraus </w:t>
      </w:r>
      <w:r w:rsidR="00C768AA">
        <w:t>anteilnehmend und differenzierend</w:t>
      </w:r>
      <w:r>
        <w:t xml:space="preserve"> wahrnehmen und verstehen</w:t>
      </w:r>
      <w:r w:rsidR="00A1289E">
        <w:t>.</w:t>
      </w:r>
    </w:p>
    <w:p w14:paraId="672A0425" w14:textId="77777777" w:rsidR="00477C5B" w:rsidRDefault="009F3752">
      <w:r>
        <w:t>- Basierend auf einem (auch) th</w:t>
      </w:r>
      <w:r w:rsidR="00C768AA">
        <w:t>eologischen Grundverständnis von</w:t>
      </w:r>
      <w:r>
        <w:t xml:space="preserve"> Lebensvollzüge</w:t>
      </w:r>
      <w:r w:rsidR="00C768AA">
        <w:t>n</w:t>
      </w:r>
      <w:r w:rsidR="001B6E1E">
        <w:t xml:space="preserve"> theologisch-didaktische Orientierungen für Lernprozesse </w:t>
      </w:r>
      <w:r w:rsidR="00C768AA">
        <w:t xml:space="preserve">gewinnen und konkrete Anliegen für religiöse Bildungsprozesse in unterschiedlichen Kontexten, speziell auch für den </w:t>
      </w:r>
      <w:r w:rsidR="00112CE5">
        <w:t>RU</w:t>
      </w:r>
      <w:r w:rsidR="00C768AA">
        <w:t xml:space="preserve"> in der Schule,</w:t>
      </w:r>
      <w:r>
        <w:t xml:space="preserve"> formulieren </w:t>
      </w:r>
      <w:r w:rsidR="001B6E1E">
        <w:t>können, die aus einem differenzierenden Orientierungsproze</w:t>
      </w:r>
      <w:r w:rsidR="005F4441">
        <w:t>ss zwischen der subjektiven, der</w:t>
      </w:r>
      <w:r w:rsidR="001B6E1E">
        <w:t xml:space="preserve"> interaktionellen, der sachlich-symbolischen und der Kontextebene </w:t>
      </w:r>
      <w:r w:rsidR="00EC3F50">
        <w:t>kommen</w:t>
      </w:r>
      <w:r w:rsidR="001B6E1E">
        <w:t>.</w:t>
      </w:r>
      <w:r>
        <w:t xml:space="preserve"> </w:t>
      </w:r>
    </w:p>
    <w:p w14:paraId="672A0426" w14:textId="77777777" w:rsidR="001B6E1E" w:rsidRDefault="009F3752">
      <w:r>
        <w:t>- K</w:t>
      </w:r>
      <w:r w:rsidR="001B6E1E">
        <w:t xml:space="preserve">onkrete </w:t>
      </w:r>
      <w:r w:rsidR="00C768AA">
        <w:t xml:space="preserve">Lern- und </w:t>
      </w:r>
      <w:r w:rsidR="001B6E1E">
        <w:t>U</w:t>
      </w:r>
      <w:r w:rsidR="00EC3F50">
        <w:t xml:space="preserve">nterrichtsprozesse so planen </w:t>
      </w:r>
      <w:r w:rsidR="001B6E1E">
        <w:t>können, dass Themenklarheit (einschließlich der Kreativität der Formul</w:t>
      </w:r>
      <w:r w:rsidR="00C768AA">
        <w:t>ierungen) und Strukturierung der Prozesse</w:t>
      </w:r>
      <w:r w:rsidR="001B6E1E">
        <w:t xml:space="preserve"> (Arbeitsformen, Methoden, M</w:t>
      </w:r>
      <w:r w:rsidR="00C768AA">
        <w:t xml:space="preserve">edien) aus </w:t>
      </w:r>
      <w:r w:rsidR="005F4441">
        <w:t>dem Thema heraus</w:t>
      </w:r>
      <w:r w:rsidR="00C768AA">
        <w:t xml:space="preserve"> erfolgen</w:t>
      </w:r>
      <w:r w:rsidR="001B6E1E">
        <w:t>.</w:t>
      </w:r>
      <w:r w:rsidR="006F7C8C">
        <w:t xml:space="preserve"> Ein</w:t>
      </w:r>
      <w:r w:rsidR="00EC3F50">
        <w:t>e</w:t>
      </w:r>
      <w:r w:rsidR="006F7C8C">
        <w:t xml:space="preserve"> </w:t>
      </w:r>
      <w:r w:rsidR="00EC3F50">
        <w:t xml:space="preserve">diesbezüglich </w:t>
      </w:r>
      <w:r w:rsidR="006F7C8C">
        <w:t xml:space="preserve">fortgeschrittene Kompetenz </w:t>
      </w:r>
      <w:r w:rsidR="00EC3F50">
        <w:t>würde darin bestehen</w:t>
      </w:r>
      <w:r w:rsidR="006F7C8C">
        <w:t>, Them</w:t>
      </w:r>
      <w:r w:rsidR="00502569">
        <w:t xml:space="preserve">en aus Prozessen heraus </w:t>
      </w:r>
      <w:r w:rsidR="006F7C8C">
        <w:t>erkennen/formulieren und Prozesse spontan (wenn die Situation es erlaubt</w:t>
      </w:r>
      <w:r w:rsidR="002E1E4B">
        <w:t>,</w:t>
      </w:r>
      <w:r w:rsidR="006F7C8C">
        <w:t xml:space="preserve"> auch unter Einbezug der SchülerInnen) </w:t>
      </w:r>
      <w:proofErr w:type="spellStart"/>
      <w:r w:rsidR="006F7C8C">
        <w:t>umplanen</w:t>
      </w:r>
      <w:proofErr w:type="spellEnd"/>
      <w:r w:rsidR="006F7C8C">
        <w:t xml:space="preserve"> zu können. </w:t>
      </w:r>
    </w:p>
    <w:p w14:paraId="672A0427" w14:textId="77777777" w:rsidR="001B6E1E" w:rsidRDefault="001B6E1E">
      <w:r>
        <w:t>-</w:t>
      </w:r>
      <w:r w:rsidR="009F3752">
        <w:t xml:space="preserve"> </w:t>
      </w:r>
      <w:r>
        <w:t xml:space="preserve">Lernprozesse </w:t>
      </w:r>
      <w:r w:rsidR="00C84A5D">
        <w:t>(situativ angemessen</w:t>
      </w:r>
      <w:r w:rsidR="00CA34BB">
        <w:t>,</w:t>
      </w:r>
      <w:r w:rsidR="00C84A5D">
        <w:t xml:space="preserve"> auch </w:t>
      </w:r>
      <w:proofErr w:type="spellStart"/>
      <w:r w:rsidR="00C84A5D">
        <w:t>partizipativ</w:t>
      </w:r>
      <w:proofErr w:type="spellEnd"/>
      <w:r w:rsidR="00C84A5D">
        <w:t>) so leiten zu können, dass SchülerInnen bestmöglich an Themen und über entsp</w:t>
      </w:r>
      <w:r w:rsidR="00C768AA">
        <w:t>rechende, durch LehrerInnen bzw.</w:t>
      </w:r>
      <w:r w:rsidR="005F4441">
        <w:t xml:space="preserve"> medial vermittelte Expertisen</w:t>
      </w:r>
      <w:r w:rsidR="00C84A5D">
        <w:t xml:space="preserve"> lebendig, also in einer dynamischen Balance von Ich-Wir-Es-</w:t>
      </w:r>
      <w:proofErr w:type="spellStart"/>
      <w:r w:rsidR="00C84A5D">
        <w:t>Globe</w:t>
      </w:r>
      <w:proofErr w:type="spellEnd"/>
      <w:r w:rsidR="00C768AA">
        <w:t>,</w:t>
      </w:r>
      <w:r w:rsidR="00C84A5D">
        <w:t xml:space="preserve"> lernen können.</w:t>
      </w:r>
    </w:p>
    <w:p w14:paraId="672A0428" w14:textId="77777777" w:rsidR="00C84A5D" w:rsidRDefault="009F3752">
      <w:r>
        <w:t xml:space="preserve">- </w:t>
      </w:r>
      <w:r w:rsidR="00C84A5D">
        <w:t>Konflikte und so</w:t>
      </w:r>
      <w:r w:rsidR="00352F00">
        <w:t xml:space="preserve"> </w:t>
      </w:r>
      <w:r w:rsidR="00C84A5D">
        <w:t>genannte Störungen auf den verschiedenen Ebenen (persönlich, interaktionell, sachlich, kontextbezogen) e</w:t>
      </w:r>
      <w:r w:rsidR="006F7C8C">
        <w:t>rkennen, situativ angemessen thematisieren</w:t>
      </w:r>
      <w:r w:rsidR="00C84A5D">
        <w:t xml:space="preserve"> und kon</w:t>
      </w:r>
      <w:r>
        <w:t xml:space="preserve">struktiven Lösungen zuführen </w:t>
      </w:r>
      <w:r w:rsidR="00C84A5D">
        <w:t>können.</w:t>
      </w:r>
    </w:p>
    <w:p w14:paraId="672A0429" w14:textId="77777777" w:rsidR="0034303D" w:rsidRDefault="009F3752">
      <w:r>
        <w:t xml:space="preserve">- </w:t>
      </w:r>
      <w:r w:rsidR="0034303D">
        <w:t xml:space="preserve">Über die Planung/Durchführung/Evaluierung von </w:t>
      </w:r>
      <w:r>
        <w:t>Lernprozesse</w:t>
      </w:r>
      <w:r w:rsidR="0034303D">
        <w:t>n fachspezifisch und fachkompetent sprechen können; dazu gehört die Begrifflichkeit des IMRA ebenso, wie die elementaren Fachsprachen und Strukturen der theologischen Fächer und der Fachdidaktik.</w:t>
      </w:r>
    </w:p>
    <w:p w14:paraId="672A042A" w14:textId="4A7494E3" w:rsidR="0034303D" w:rsidRDefault="0034303D">
      <w:r>
        <w:t xml:space="preserve">- </w:t>
      </w:r>
      <w:r w:rsidR="0032511F">
        <w:t>Ansatzweise e</w:t>
      </w:r>
      <w:r>
        <w:t xml:space="preserve">in </w:t>
      </w:r>
      <w:r w:rsidR="00974748">
        <w:t>‚</w:t>
      </w:r>
      <w:r>
        <w:t>professionelles</w:t>
      </w:r>
      <w:r w:rsidR="00974748">
        <w:t>‘</w:t>
      </w:r>
      <w:r>
        <w:t xml:space="preserve"> Selbst als künftige</w:t>
      </w:r>
      <w:r w:rsidR="00974748">
        <w:t>/</w:t>
      </w:r>
      <w:r>
        <w:t xml:space="preserve">r </w:t>
      </w:r>
      <w:proofErr w:type="spellStart"/>
      <w:r>
        <w:t>Religionslehre</w:t>
      </w:r>
      <w:r w:rsidR="00974748">
        <w:t>rIn</w:t>
      </w:r>
      <w:proofErr w:type="spellEnd"/>
      <w:r>
        <w:t xml:space="preserve"> </w:t>
      </w:r>
      <w:r w:rsidR="0032511F">
        <w:t>in Auseinandersetzung mit bisherigen Lernerfahrungen, kirchlichen und schulischen Vorstellungen von Religion und RU und unterschiedlichen Rollenbildern in den verschiedenen RU-Konzepten entwickeln können.</w:t>
      </w:r>
    </w:p>
    <w:p w14:paraId="672A042B" w14:textId="758094AA" w:rsidR="0032511F" w:rsidRDefault="00112CE5">
      <w:r>
        <w:t xml:space="preserve">- </w:t>
      </w:r>
      <w:r w:rsidR="00E6141B">
        <w:t>Ein</w:t>
      </w:r>
      <w:r w:rsidR="005F4441">
        <w:t>/</w:t>
      </w:r>
      <w:r w:rsidR="00E6141B">
        <w:t>e (Religions-)</w:t>
      </w:r>
      <w:proofErr w:type="spellStart"/>
      <w:r w:rsidR="00E6141B">
        <w:t>L</w:t>
      </w:r>
      <w:r w:rsidR="0032511F">
        <w:t>ehrer</w:t>
      </w:r>
      <w:r w:rsidR="00974748">
        <w:t>I</w:t>
      </w:r>
      <w:r w:rsidR="0032511F">
        <w:t>n</w:t>
      </w:r>
      <w:proofErr w:type="spellEnd"/>
      <w:r w:rsidR="0032511F">
        <w:t xml:space="preserve"> – Chairperson mit eigenständiger, (selektiv-)authentischer, </w:t>
      </w:r>
      <w:r>
        <w:t>konfliktfähiger und kommunikativer</w:t>
      </w:r>
      <w:r w:rsidR="0032511F">
        <w:t xml:space="preserve"> Entscheidungs- und Handlungskompetenz verinnerlichen und ko</w:t>
      </w:r>
      <w:r>
        <w:t>mmunizieren können.</w:t>
      </w:r>
    </w:p>
    <w:p w14:paraId="672A042C" w14:textId="30242353" w:rsidR="0032511F" w:rsidRDefault="0032511F">
      <w:r>
        <w:t xml:space="preserve">- Anerkennung und Wertschätzung der Anderen, </w:t>
      </w:r>
      <w:r w:rsidR="00845959">
        <w:t xml:space="preserve">sowie </w:t>
      </w:r>
      <w:r>
        <w:t>Anerkennung und Wertschätzung von Differenzen verinnerlichen und kommunizieren können.</w:t>
      </w:r>
    </w:p>
    <w:p w14:paraId="672A042D" w14:textId="77777777" w:rsidR="00C507E3" w:rsidRDefault="000D0EAE">
      <w:r>
        <w:t xml:space="preserve">2. </w:t>
      </w:r>
      <w:r w:rsidR="00C768AA">
        <w:t>Was sich inzwischen gezeigt hat</w:t>
      </w:r>
    </w:p>
    <w:p w14:paraId="672A042E" w14:textId="47CA4A04" w:rsidR="000E5422" w:rsidRDefault="00C507E3">
      <w:r>
        <w:lastRenderedPageBreak/>
        <w:t>Grundsätzlich zeigt sich mir</w:t>
      </w:r>
      <w:r w:rsidR="00C768AA" w:rsidRPr="00C768AA">
        <w:rPr>
          <w:vertAlign w:val="superscript"/>
        </w:rPr>
        <w:footnoteReference w:id="23"/>
      </w:r>
      <w:r w:rsidR="00C768AA">
        <w:t xml:space="preserve"> ein differenziertes Bild vom</w:t>
      </w:r>
      <w:r>
        <w:t xml:space="preserve"> </w:t>
      </w:r>
      <w:r w:rsidR="00974748">
        <w:t>‚</w:t>
      </w:r>
      <w:r>
        <w:t>Erfolg</w:t>
      </w:r>
      <w:r w:rsidR="00974748">
        <w:t>‘</w:t>
      </w:r>
      <w:r>
        <w:t xml:space="preserve"> des IMRA. Manche Studierende verstehen erst nach einem fünftägigen,</w:t>
      </w:r>
      <w:r w:rsidR="00DC4E7F">
        <w:t xml:space="preserve"> geblockten k</w:t>
      </w:r>
      <w:r>
        <w:t>ooperativen Seminar nach dem Ansatz der TZI, welche Horizonte für die konkrete Themenfindung und Strukturierung von Kommunikationsprozessen eine theologische Hermeneutik des Lebens, speziell auch der Interaktionszusammenhänge</w:t>
      </w:r>
      <w:r w:rsidR="00502569">
        <w:t xml:space="preserve"> einer Gruppe</w:t>
      </w:r>
      <w:r w:rsidR="006F7C8C">
        <w:t>, einschließlich der</w:t>
      </w:r>
      <w:r w:rsidR="00502569">
        <w:t>en</w:t>
      </w:r>
      <w:r>
        <w:t xml:space="preserve"> Konfli</w:t>
      </w:r>
      <w:r w:rsidR="00DC4E7F">
        <w:t>kt</w:t>
      </w:r>
      <w:r w:rsidR="006F7C8C">
        <w:t>potentiale</w:t>
      </w:r>
      <w:r w:rsidR="00DC4E7F">
        <w:t>, eröffnen kann</w:t>
      </w:r>
      <w:r>
        <w:t>. Diese E</w:t>
      </w:r>
      <w:r w:rsidR="00E30406">
        <w:t xml:space="preserve">rfahrung steht in </w:t>
      </w:r>
      <w:r w:rsidR="00B62732">
        <w:t>stärker theoretisch ausgerichteten Erschließung</w:t>
      </w:r>
      <w:r w:rsidR="00E30406">
        <w:t>szusammenhängen</w:t>
      </w:r>
      <w:r w:rsidR="00B62732">
        <w:t xml:space="preserve"> des IMRA</w:t>
      </w:r>
      <w:r w:rsidR="00E30406">
        <w:t>, wie</w:t>
      </w:r>
      <w:r w:rsidR="00B62732">
        <w:t xml:space="preserve"> in einführenden Vorlesu</w:t>
      </w:r>
      <w:r w:rsidR="000E5422">
        <w:t>ngen und Seminaren</w:t>
      </w:r>
      <w:r w:rsidR="00E30406">
        <w:t>,</w:t>
      </w:r>
      <w:r w:rsidR="000E5422">
        <w:t xml:space="preserve"> mitunter noch </w:t>
      </w:r>
      <w:r w:rsidR="00E30406">
        <w:t>aus</w:t>
      </w:r>
      <w:r w:rsidR="00B62732">
        <w:t>. Bei Studierenden der Fachtheologie</w:t>
      </w:r>
      <w:r w:rsidR="009471E4">
        <w:t xml:space="preserve"> etwa</w:t>
      </w:r>
      <w:r w:rsidR="00B62732">
        <w:t xml:space="preserve">, die nicht das ganze religionspädagogische und religionsdidaktische Programm </w:t>
      </w:r>
      <w:r w:rsidR="006F7C8C">
        <w:t>absolvieren, kann dieses Erfahrungsdefizit</w:t>
      </w:r>
      <w:r w:rsidR="001A63F4">
        <w:t xml:space="preserve"> zu grundlegenderen Missverständnissen führen</w:t>
      </w:r>
      <w:r w:rsidR="00B62732">
        <w:t xml:space="preserve">. </w:t>
      </w:r>
    </w:p>
    <w:p w14:paraId="672A042F" w14:textId="42F3EE3E" w:rsidR="00C73F93" w:rsidRDefault="00B62732">
      <w:r>
        <w:t>Besonders spannend erlebe ich die Kooperation in TZI Seminaren mit Fac</w:t>
      </w:r>
      <w:r w:rsidR="00502569">
        <w:t>hgebieten</w:t>
      </w:r>
      <w:r w:rsidR="00352F00">
        <w:t xml:space="preserve"> bzw. </w:t>
      </w:r>
      <w:proofErr w:type="spellStart"/>
      <w:r w:rsidR="00352F00">
        <w:t>FachvertreterInnen</w:t>
      </w:r>
      <w:proofErr w:type="spellEnd"/>
      <w:r w:rsidR="00502569">
        <w:t>, die eine z.T. andere</w:t>
      </w:r>
      <w:r>
        <w:t xml:space="preserve"> </w:t>
      </w:r>
      <w:r w:rsidR="00502569">
        <w:t xml:space="preserve">(oder präzisere) </w:t>
      </w:r>
      <w:r>
        <w:t xml:space="preserve">Hermeneutik </w:t>
      </w:r>
      <w:r w:rsidR="00502569">
        <w:t>einfordern als sie TheologInnen in der Regel betreiben: E</w:t>
      </w:r>
      <w:r>
        <w:t xml:space="preserve">twa </w:t>
      </w:r>
      <w:r w:rsidR="00502569">
        <w:t>einen</w:t>
      </w:r>
      <w:r>
        <w:t xml:space="preserve"> </w:t>
      </w:r>
      <w:r w:rsidR="00502569">
        <w:t xml:space="preserve">präziseren Umgang mit Quellen, die Kontextualisierung von Begriffen und die </w:t>
      </w:r>
      <w:r>
        <w:t xml:space="preserve">Dekonstruktion </w:t>
      </w:r>
      <w:r w:rsidR="00974748">
        <w:t>‚</w:t>
      </w:r>
      <w:r>
        <w:t>ges</w:t>
      </w:r>
      <w:r w:rsidR="00E30406">
        <w:t>chichtlicher</w:t>
      </w:r>
      <w:r w:rsidR="00974748">
        <w:t>‘</w:t>
      </w:r>
      <w:r w:rsidR="00E30406">
        <w:t xml:space="preserve"> Ereignisse</w:t>
      </w:r>
      <w:r>
        <w:t xml:space="preserve">. </w:t>
      </w:r>
      <w:r w:rsidR="000E5422">
        <w:t>In diesem Sinn bewährt</w:t>
      </w:r>
      <w:r>
        <w:t xml:space="preserve"> sich die mehr als zehnjährige Zusammenarbeit mit den </w:t>
      </w:r>
      <w:proofErr w:type="spellStart"/>
      <w:r>
        <w:t>Histor</w:t>
      </w:r>
      <w:r w:rsidR="00C73F93">
        <w:t>ikerInnen</w:t>
      </w:r>
      <w:proofErr w:type="spellEnd"/>
      <w:r w:rsidR="00C73F93">
        <w:t xml:space="preserve"> in lebendigen Gruppenprozessen</w:t>
      </w:r>
      <w:r>
        <w:t xml:space="preserve">. </w:t>
      </w:r>
      <w:r w:rsidR="00C73F93">
        <w:t xml:space="preserve">Über solche Kooperationen reduziert sich auch die von Englert nicht zu Unrecht angemahnte Gefahr eines theologischen </w:t>
      </w:r>
      <w:proofErr w:type="spellStart"/>
      <w:r w:rsidR="00C73F93">
        <w:t>Integralismus</w:t>
      </w:r>
      <w:proofErr w:type="spellEnd"/>
      <w:r w:rsidR="00C73F93">
        <w:t xml:space="preserve">, der alles ausschließlich durch eine theologisch-gefärbte Brille sehen würde. </w:t>
      </w:r>
    </w:p>
    <w:p w14:paraId="672A0430" w14:textId="6A477F94" w:rsidR="00B53A4F" w:rsidRDefault="00B62732">
      <w:r>
        <w:t>Eine weitere spannende Kooperation hat sich in den let</w:t>
      </w:r>
      <w:r w:rsidR="001A63F4">
        <w:t xml:space="preserve">zten Jahren mit der </w:t>
      </w:r>
      <w:r w:rsidR="00352F00">
        <w:t>I</w:t>
      </w:r>
      <w:r w:rsidR="001A63F4">
        <w:t>slamischen</w:t>
      </w:r>
      <w:r>
        <w:t xml:space="preserve"> Religionspädagogik ergeben, die inzwischen an der Innsbrucker Theologie Heimatrecht hat </w:t>
      </w:r>
      <w:r w:rsidR="00B53A4F">
        <w:t xml:space="preserve">und an </w:t>
      </w:r>
      <w:r w:rsidR="00C73F93">
        <w:t xml:space="preserve">der neugegründeten </w:t>
      </w:r>
      <w:r w:rsidR="00974748">
        <w:t>‚</w:t>
      </w:r>
      <w:r w:rsidR="00C73F93">
        <w:t xml:space="preserve">School </w:t>
      </w:r>
      <w:proofErr w:type="spellStart"/>
      <w:r w:rsidR="00C73F93">
        <w:t>of</w:t>
      </w:r>
      <w:proofErr w:type="spellEnd"/>
      <w:r w:rsidR="00C73F93">
        <w:t xml:space="preserve"> Education</w:t>
      </w:r>
      <w:r w:rsidR="00974748">
        <w:t>‘</w:t>
      </w:r>
      <w:r w:rsidR="00C73F93">
        <w:t xml:space="preserve"> der </w:t>
      </w:r>
      <w:r w:rsidR="00B53A4F">
        <w:t xml:space="preserve">Universität </w:t>
      </w:r>
      <w:r w:rsidR="001A63F4">
        <w:t xml:space="preserve">Innsbruck </w:t>
      </w:r>
      <w:r w:rsidR="00B53A4F">
        <w:t>nun auch als Regelstudium eingeführt wird. In dieser Kooperation erweist sich speziell d</w:t>
      </w:r>
      <w:r w:rsidR="00C73F93">
        <w:t xml:space="preserve">er </w:t>
      </w:r>
      <w:r w:rsidR="00974748">
        <w:t>‚</w:t>
      </w:r>
      <w:r w:rsidR="00C73F93">
        <w:t>ganzheitliche Charakter</w:t>
      </w:r>
      <w:r w:rsidR="00974748">
        <w:t>‘</w:t>
      </w:r>
      <w:r w:rsidR="00C73F93">
        <w:t xml:space="preserve"> der Seminare im Kontext des IMRA </w:t>
      </w:r>
      <w:r w:rsidR="009471E4">
        <w:t xml:space="preserve">als </w:t>
      </w:r>
      <w:r w:rsidR="00C73F93">
        <w:t>herausfordernd</w:t>
      </w:r>
      <w:r w:rsidR="00B53A4F">
        <w:t xml:space="preserve">, der </w:t>
      </w:r>
      <w:r w:rsidR="00E30406">
        <w:t>u.</w:t>
      </w:r>
      <w:r w:rsidR="00352F00">
        <w:t xml:space="preserve"> </w:t>
      </w:r>
      <w:r w:rsidR="00E30406">
        <w:t>a. auch das M</w:t>
      </w:r>
      <w:r w:rsidR="00B53A4F">
        <w:t>iteinander</w:t>
      </w:r>
      <w:r w:rsidR="00974748">
        <w:t>-</w:t>
      </w:r>
      <w:r w:rsidR="00B53A4F">
        <w:t>Beten und Feiern einschließt</w:t>
      </w:r>
      <w:r w:rsidR="00C73F93">
        <w:t>.</w:t>
      </w:r>
      <w:r w:rsidR="00B53A4F">
        <w:t xml:space="preserve"> Wenn nach dem Freitagsgebet, an dem wir als muslimisch-katholisch</w:t>
      </w:r>
      <w:r w:rsidR="001A63F4">
        <w:t>e TZI Gruppe teilgenommen haben</w:t>
      </w:r>
      <w:r w:rsidR="00B53A4F">
        <w:t xml:space="preserve">, </w:t>
      </w:r>
      <w:r w:rsidR="00B53A4F" w:rsidRPr="00B53A4F">
        <w:t>die ich mit einer muslimischen Kollegin geleitet habe</w:t>
      </w:r>
      <w:r w:rsidR="00B53A4F">
        <w:t>, ein katholischer Studierender (leise) zu einem anderen sagt</w:t>
      </w:r>
      <w:r w:rsidR="00FA70DE">
        <w:t>:</w:t>
      </w:r>
      <w:r w:rsidR="00B53A4F">
        <w:t xml:space="preserve"> „D</w:t>
      </w:r>
      <w:r w:rsidR="000E5422">
        <w:t>as sind ja</w:t>
      </w:r>
      <w:r w:rsidR="00B53A4F">
        <w:t xml:space="preserve"> alles Tiroler!“, dann zeigt sich in dieser</w:t>
      </w:r>
      <w:r w:rsidR="000E5422">
        <w:t xml:space="preserve"> Einsicht</w:t>
      </w:r>
      <w:r w:rsidR="00B53A4F">
        <w:t xml:space="preserve"> </w:t>
      </w:r>
      <w:r w:rsidR="000E5422">
        <w:t>ein</w:t>
      </w:r>
      <w:r w:rsidR="00B53A4F">
        <w:t xml:space="preserve"> Erkenntnisgewinn, der durch keine</w:t>
      </w:r>
      <w:r w:rsidR="000E5422">
        <w:t>n Diskurs</w:t>
      </w:r>
      <w:r w:rsidR="00B53A4F">
        <w:t xml:space="preserve"> über Religion und Religionen eingeholt werden kann.</w:t>
      </w:r>
    </w:p>
    <w:p w14:paraId="672A0431" w14:textId="2AEC2A03" w:rsidR="00BD68AD" w:rsidRDefault="00B53A4F">
      <w:r>
        <w:t>So wertvoll im Hinblick auf den Erfolg des Theologiestudiums insgesamt die Einübung einer theologischen Hermeneutik des Lebens auch sein mag, so haben wir in den vergangenen Jahren auch erkennen müssen,</w:t>
      </w:r>
      <w:r w:rsidR="00BD68AD">
        <w:t xml:space="preserve"> dass manche Studierende das mögliche </w:t>
      </w:r>
      <w:r w:rsidR="00974748">
        <w:t>‚</w:t>
      </w:r>
      <w:r w:rsidR="00BD68AD">
        <w:t>Technologie-Defizit</w:t>
      </w:r>
      <w:r w:rsidR="00974748">
        <w:t>‘</w:t>
      </w:r>
      <w:r w:rsidR="00E30406">
        <w:t>, von dem Englert in seinen Anmerkungen spricht,</w:t>
      </w:r>
      <w:r w:rsidR="00BD68AD">
        <w:t xml:space="preserve"> wettzumachen versuchen</w:t>
      </w:r>
      <w:r w:rsidR="00E30406">
        <w:t>, indem sie z.B. die von uns so bekämpften, fertigen Stundenbilder unter der Hand weiter geben</w:t>
      </w:r>
      <w:r w:rsidR="00BD68AD">
        <w:t>. Eine gewisse Abhilfe sollen zusätzliche Angebote von Methoden- und Medienseminaren schaffen. Hier ist uns wichtig, dass die Lehrbeauftragten in solchen Seminaren mit dem IMRA vertraut sind und nicht zusammenhanglos Methoden- und Medientrainings veranstalten, wie sie manche Studierende gerne hätten.</w:t>
      </w:r>
    </w:p>
    <w:p w14:paraId="672A0432" w14:textId="77777777" w:rsidR="004F4B14" w:rsidRDefault="004F4B14">
      <w:r>
        <w:t xml:space="preserve">Aus </w:t>
      </w:r>
      <w:r w:rsidR="00E30406">
        <w:t>der Reflexion der bisherigen Erfahrungen mit dem IMRA fördern w</w:t>
      </w:r>
      <w:r w:rsidR="001A63F4">
        <w:t xml:space="preserve">ir </w:t>
      </w:r>
      <w:r w:rsidR="00E30406">
        <w:t>folgende zusätzliche Kompetenzen:</w:t>
      </w:r>
    </w:p>
    <w:p w14:paraId="672A0433" w14:textId="41148603" w:rsidR="006B02C1" w:rsidRDefault="006B02C1" w:rsidP="006B02C1">
      <w:r>
        <w:t>- Eine theologische</w:t>
      </w:r>
      <w:r w:rsidR="006A6613">
        <w:t xml:space="preserve"> Hermeneutik des Lebens in wechselseitiger und wechselseitig kritischer Auseinandersetzung mit </w:t>
      </w:r>
      <w:r>
        <w:t xml:space="preserve">humanwissenschaftlichen </w:t>
      </w:r>
      <w:r w:rsidR="006A6613">
        <w:t>Erkenntnisperspektiven auf</w:t>
      </w:r>
      <w:r>
        <w:t xml:space="preserve"> Lebens-</w:t>
      </w:r>
      <w:r>
        <w:lastRenderedPageBreak/>
        <w:t>/Kommun</w:t>
      </w:r>
      <w:r w:rsidR="006A6613">
        <w:t>ikationsprozesse hin beziehen</w:t>
      </w:r>
      <w:r>
        <w:t xml:space="preserve"> </w:t>
      </w:r>
      <w:r w:rsidR="006A6613">
        <w:t>und daraus Erkenntnisse über Mensch und Welt gewi</w:t>
      </w:r>
      <w:r w:rsidR="00A80189">
        <w:t>n</w:t>
      </w:r>
      <w:r w:rsidR="006A6613">
        <w:t xml:space="preserve">nen </w:t>
      </w:r>
      <w:r>
        <w:t xml:space="preserve">können. </w:t>
      </w:r>
    </w:p>
    <w:p w14:paraId="672A0434" w14:textId="235542C1" w:rsidR="008D6293" w:rsidRDefault="008D6293" w:rsidP="008D6293">
      <w:r>
        <w:t xml:space="preserve">- In der Auseinandersetzung mit Studierenden und Lehrenden anderer Fachbereiche, deren spezifische hermeneutische Stärken in den Fragestellungen erkennen und durch andere </w:t>
      </w:r>
      <w:r w:rsidR="00974748">
        <w:t>‚</w:t>
      </w:r>
      <w:r>
        <w:t>Blicke</w:t>
      </w:r>
      <w:r w:rsidR="00974748">
        <w:t>‘</w:t>
      </w:r>
      <w:r>
        <w:t xml:space="preserve"> einen theologischen </w:t>
      </w:r>
      <w:proofErr w:type="spellStart"/>
      <w:r>
        <w:t>Integralismus</w:t>
      </w:r>
      <w:proofErr w:type="spellEnd"/>
      <w:r>
        <w:t xml:space="preserve"> konstruktiv aufbrechen können.</w:t>
      </w:r>
    </w:p>
    <w:p w14:paraId="672A0435" w14:textId="77777777" w:rsidR="008D6293" w:rsidRDefault="008D6293" w:rsidP="008D6293">
      <w:r>
        <w:t xml:space="preserve">- Mit Studierenden und künftigen </w:t>
      </w:r>
      <w:proofErr w:type="spellStart"/>
      <w:r>
        <w:t>ReligionslehrerInnen</w:t>
      </w:r>
      <w:proofErr w:type="spellEnd"/>
      <w:r>
        <w:t xml:space="preserve"> aus anderen Konfessionen und Religionen, exemplarisch mit Muslimen, wechselseitige Anfragen, Vorurteile und Konflikte dialogisch bearbeiten und gemeinsame Projekte planen und durchführen können.</w:t>
      </w:r>
    </w:p>
    <w:p w14:paraId="672A0436" w14:textId="77777777" w:rsidR="008D6293" w:rsidRDefault="008D6293" w:rsidP="008D6293">
      <w:r>
        <w:t>- Methoden und Medien aus der Logik des IMRA heraus differenziert planen und themenorientiert einsetzen können.</w:t>
      </w:r>
    </w:p>
    <w:p w14:paraId="672A0437" w14:textId="77777777" w:rsidR="000D0EAE" w:rsidRDefault="004F4B14" w:rsidP="004F4B14">
      <w:r>
        <w:t>3.</w:t>
      </w:r>
      <w:r w:rsidR="002D13AE">
        <w:t xml:space="preserve"> Divergenzen</w:t>
      </w:r>
      <w:r w:rsidR="000D0EAE" w:rsidRPr="000D0EAE">
        <w:t xml:space="preserve"> </w:t>
      </w:r>
      <w:r w:rsidR="002D13AE">
        <w:t>und</w:t>
      </w:r>
      <w:r w:rsidR="001D2236">
        <w:t xml:space="preserve"> Konvergenzen </w:t>
      </w:r>
      <w:r w:rsidR="002D13AE">
        <w:t>zwischen dem IMRA und der</w:t>
      </w:r>
      <w:r w:rsidR="000D0EAE" w:rsidRPr="000D0EAE">
        <w:t xml:space="preserve"> derzeit laufenden Kompetenz-/Standarddebatte</w:t>
      </w:r>
    </w:p>
    <w:p w14:paraId="672A0438" w14:textId="18EEAE1F" w:rsidR="008D6293" w:rsidRDefault="00A80189">
      <w:r>
        <w:t>Zunächst ist festzuhalten</w:t>
      </w:r>
      <w:r w:rsidR="002D13AE">
        <w:t>, dass die Debatte um entsprechende Kompetenze</w:t>
      </w:r>
      <w:r>
        <w:t>n und Standards</w:t>
      </w:r>
      <w:r w:rsidR="002D13AE">
        <w:t xml:space="preserve"> auf der Ebene der </w:t>
      </w:r>
      <w:proofErr w:type="spellStart"/>
      <w:r w:rsidR="002D13AE">
        <w:t>LehrerInne</w:t>
      </w:r>
      <w:r w:rsidR="009E4D15">
        <w:t>n</w:t>
      </w:r>
      <w:r w:rsidR="002D13AE">
        <w:t>ausbildung</w:t>
      </w:r>
      <w:proofErr w:type="spellEnd"/>
      <w:r w:rsidR="002D13AE">
        <w:t xml:space="preserve"> </w:t>
      </w:r>
      <w:r>
        <w:t xml:space="preserve">im IMRA stets diskutiert und </w:t>
      </w:r>
      <w:r w:rsidR="006A6613">
        <w:t>reflektiert wurde</w:t>
      </w:r>
      <w:r w:rsidR="002D13AE">
        <w:t xml:space="preserve">. </w:t>
      </w:r>
      <w:r w:rsidR="009E4D15">
        <w:t xml:space="preserve">Es sei </w:t>
      </w:r>
      <w:r w:rsidR="006A6613">
        <w:t xml:space="preserve">auch </w:t>
      </w:r>
      <w:r w:rsidR="009E4D15">
        <w:t xml:space="preserve">daran erinnert, dass sich die Tagung, auf der ich das IMRA einem größeren Kreis von </w:t>
      </w:r>
      <w:proofErr w:type="spellStart"/>
      <w:r w:rsidR="009E4D15">
        <w:t>FachkollegInnen</w:t>
      </w:r>
      <w:proofErr w:type="spellEnd"/>
      <w:r w:rsidR="009E4D15">
        <w:t xml:space="preserve"> vorgestellt habe, explizit mit Kompetenzen im Kontext der Ausbildung von </w:t>
      </w:r>
      <w:proofErr w:type="spellStart"/>
      <w:r w:rsidR="009E4D15">
        <w:t>ReligionslehrerInnen</w:t>
      </w:r>
      <w:proofErr w:type="spellEnd"/>
      <w:r w:rsidR="009E4D15">
        <w:t xml:space="preserve"> beschäftigt hat. </w:t>
      </w:r>
      <w:r w:rsidR="002D13AE">
        <w:t xml:space="preserve">Selbstverständlich war immer – soweit sich das IMRA auf die Ausbildung von </w:t>
      </w:r>
      <w:proofErr w:type="spellStart"/>
      <w:r w:rsidR="002D13AE">
        <w:t>ReligionslehrerInnen</w:t>
      </w:r>
      <w:proofErr w:type="spellEnd"/>
      <w:r w:rsidR="002D13AE">
        <w:t xml:space="preserve"> bezog –</w:t>
      </w:r>
      <w:r w:rsidR="009E4D15">
        <w:t xml:space="preserve"> </w:t>
      </w:r>
      <w:r w:rsidR="006A6613">
        <w:t>intendiert, dass die in der Ausbildung erworbenen Kompetenzen dazu führen sollten</w:t>
      </w:r>
      <w:r w:rsidR="009E4D15">
        <w:t xml:space="preserve">, </w:t>
      </w:r>
      <w:r w:rsidR="006A6613">
        <w:t>das</w:t>
      </w:r>
      <w:r>
        <w:t>s SchülerInnen in</w:t>
      </w:r>
      <w:r w:rsidR="00CA26BD">
        <w:t xml:space="preserve"> leben</w:t>
      </w:r>
      <w:r w:rsidR="006A6613">
        <w:t>dige</w:t>
      </w:r>
      <w:r>
        <w:t>n</w:t>
      </w:r>
      <w:r w:rsidR="00AE49F5">
        <w:t xml:space="preserve"> </w:t>
      </w:r>
      <w:r w:rsidR="009E4D15">
        <w:t>Lernprozesse</w:t>
      </w:r>
      <w:r w:rsidR="00FA70DE">
        <w:t>n</w:t>
      </w:r>
      <w:r w:rsidR="00CA26BD">
        <w:t xml:space="preserve"> </w:t>
      </w:r>
      <w:proofErr w:type="spellStart"/>
      <w:r w:rsidR="008D6293">
        <w:t>kompetenzenorientiert</w:t>
      </w:r>
      <w:r w:rsidR="00F46007">
        <w:t>er</w:t>
      </w:r>
      <w:proofErr w:type="spellEnd"/>
      <w:r w:rsidR="008D6293">
        <w:t xml:space="preserve"> lernen können</w:t>
      </w:r>
      <w:r w:rsidR="009E4D15">
        <w:t>. In dieser Hinsicht gehört das Kompetenzbewusstsein so se</w:t>
      </w:r>
      <w:r w:rsidR="006A6613">
        <w:t>lbstverständlich zum IMRA</w:t>
      </w:r>
      <w:r w:rsidR="00CA26BD">
        <w:t xml:space="preserve">, dass man </w:t>
      </w:r>
      <w:r w:rsidR="009E4D15">
        <w:t>darüb</w:t>
      </w:r>
      <w:r w:rsidR="008D6293">
        <w:t>er</w:t>
      </w:r>
      <w:r w:rsidR="00CA26BD">
        <w:t xml:space="preserve"> kaum </w:t>
      </w:r>
      <w:r w:rsidR="006A6613">
        <w:t xml:space="preserve">speziell </w:t>
      </w:r>
      <w:r w:rsidR="009E4D15">
        <w:t>sprechen muss.</w:t>
      </w:r>
    </w:p>
    <w:p w14:paraId="672A0439" w14:textId="3971F715" w:rsidR="00AE49F5" w:rsidRDefault="00AE49F5">
      <w:r>
        <w:t>Trotz dieser Selbstverständlichkeit des Kompetenzdenkens im Hinblick auf die Qualifizierung von LehrerInnen und SchülerInnen, ist die Standard-/Kompetenzdebatte – nicht nur in Ö</w:t>
      </w:r>
      <w:r w:rsidR="006A6613">
        <w:t xml:space="preserve">sterreich – mit einer </w:t>
      </w:r>
      <w:r>
        <w:t xml:space="preserve">Aura umgeben, die </w:t>
      </w:r>
      <w:r w:rsidR="003A586C">
        <w:t xml:space="preserve">sie zu etwas Besonderem macht. Das kann durchaus </w:t>
      </w:r>
      <w:r w:rsidR="006A6613">
        <w:t>als Chance genützt</w:t>
      </w:r>
      <w:r w:rsidR="003A586C">
        <w:t xml:space="preserve"> werden</w:t>
      </w:r>
      <w:r w:rsidR="006A6613">
        <w:t xml:space="preserve">, </w:t>
      </w:r>
      <w:r w:rsidR="003A586C">
        <w:t xml:space="preserve">wenn sich etwa Religionen und Konfessionen </w:t>
      </w:r>
      <w:r w:rsidR="008D6293">
        <w:t xml:space="preserve">in Österreich </w:t>
      </w:r>
      <w:r w:rsidR="003A586C">
        <w:t>auf Kompetenzen einigen, die im RU aufgebaut werden sollen</w:t>
      </w:r>
      <w:r w:rsidR="00FA70DE">
        <w:t>,</w:t>
      </w:r>
      <w:r w:rsidR="003A586C">
        <w:t xml:space="preserve"> oder wenn an Schulen durch die Kompetenzdebatte die Kooperation zwischen d</w:t>
      </w:r>
      <w:r w:rsidR="008D6293">
        <w:t>en</w:t>
      </w:r>
      <w:r w:rsidR="003A586C">
        <w:t xml:space="preserve"> LehrerInnen </w:t>
      </w:r>
      <w:r w:rsidR="008D6293">
        <w:t>und Fachbereichen gefördert wird</w:t>
      </w:r>
      <w:r w:rsidR="003A586C">
        <w:t xml:space="preserve">. </w:t>
      </w:r>
      <w:r w:rsidR="008D6293">
        <w:t xml:space="preserve">Ehrlicherweise muss man angesichts solcher positiver Entwicklungen aber auch sagen, dass sie nicht unbedingt an der Implementierung kompetenzorientierter Standards im Bildungssystem liegen, sondern sich vielleicht andere Leitbegriffe, die Kooperation fördern, besser eignen würden. Insofern ist es im Kontext der Ausbildung wichtig, die Standard-/Kompetenzorientierung des RU im Zusammenhang mit anderen religionsdidaktischen Orientierungen </w:t>
      </w:r>
      <w:r w:rsidR="00E04C67">
        <w:t xml:space="preserve">zu sehen und damit auch zu relativieren. In der </w:t>
      </w:r>
      <w:proofErr w:type="spellStart"/>
      <w:r w:rsidR="00E04C67">
        <w:t>LehrerInnenfortbildung</w:t>
      </w:r>
      <w:proofErr w:type="spellEnd"/>
      <w:r w:rsidR="00E04C67">
        <w:t xml:space="preserve"> reduziert die Ausweitung des (religions-)didaktischen Horizonts allfällige Ängste</w:t>
      </w:r>
      <w:r w:rsidR="006A6613">
        <w:t xml:space="preserve"> bei LehrerIn</w:t>
      </w:r>
      <w:r w:rsidR="00E04C67">
        <w:t>nen und SchülerInnen, wenn das an sich s</w:t>
      </w:r>
      <w:r w:rsidR="006A6613">
        <w:t xml:space="preserve">elbstverständliche </w:t>
      </w:r>
      <w:r w:rsidR="00E04C67">
        <w:t xml:space="preserve">Kompetenzdenken </w:t>
      </w:r>
      <w:r w:rsidR="006A6613">
        <w:t xml:space="preserve">vom </w:t>
      </w:r>
      <w:r>
        <w:t xml:space="preserve">Bildungsministerium </w:t>
      </w:r>
      <w:r w:rsidR="00845959">
        <w:t>‚</w:t>
      </w:r>
      <w:r>
        <w:t>top down</w:t>
      </w:r>
      <w:r w:rsidR="00845959">
        <w:t>‘</w:t>
      </w:r>
      <w:r>
        <w:t xml:space="preserve"> </w:t>
      </w:r>
      <w:r w:rsidR="006A6613">
        <w:t xml:space="preserve">als </w:t>
      </w:r>
      <w:r w:rsidR="00845959">
        <w:t>‚</w:t>
      </w:r>
      <w:r w:rsidR="006A6613">
        <w:t>neues</w:t>
      </w:r>
      <w:r w:rsidR="00845959">
        <w:t>‘</w:t>
      </w:r>
      <w:r w:rsidR="006A6613">
        <w:t xml:space="preserve"> System von Schule und Unterricht</w:t>
      </w:r>
      <w:r w:rsidR="003A586C">
        <w:t xml:space="preserve"> implementiert wird</w:t>
      </w:r>
      <w:r w:rsidR="00CA26BD">
        <w:t>.</w:t>
      </w:r>
      <w:r>
        <w:t xml:space="preserve"> </w:t>
      </w:r>
    </w:p>
    <w:p w14:paraId="672A043A" w14:textId="6C813F62" w:rsidR="00275173" w:rsidRDefault="003A586C" w:rsidP="00275173">
      <w:r>
        <w:t>So wie der RU ist auch das</w:t>
      </w:r>
      <w:r w:rsidR="00CA26BD">
        <w:t xml:space="preserve"> </w:t>
      </w:r>
      <w:r w:rsidR="000D0EAE">
        <w:t>IMRA</w:t>
      </w:r>
      <w:r w:rsidR="000E5422">
        <w:t xml:space="preserve"> </w:t>
      </w:r>
      <w:r w:rsidR="00CA26BD">
        <w:t xml:space="preserve">nicht durch den Kompetenzdiskurs an sich </w:t>
      </w:r>
      <w:r w:rsidR="00275173">
        <w:t xml:space="preserve">speziell </w:t>
      </w:r>
      <w:r w:rsidR="00CA26BD">
        <w:t xml:space="preserve">herausgefordert, sondern </w:t>
      </w:r>
      <w:r w:rsidR="00D203C1">
        <w:t>durch die Kompete</w:t>
      </w:r>
      <w:r w:rsidR="00CA26BD">
        <w:t>nz-/Standa</w:t>
      </w:r>
      <w:r>
        <w:t>rddebatte</w:t>
      </w:r>
      <w:r w:rsidR="00FA70DE">
        <w:t>,</w:t>
      </w:r>
      <w:r>
        <w:t xml:space="preserve"> wie sie derzeit mitunter läuft.</w:t>
      </w:r>
      <w:r w:rsidR="00CA26BD">
        <w:t xml:space="preserve"> </w:t>
      </w:r>
      <w:r>
        <w:t>D</w:t>
      </w:r>
      <w:r w:rsidR="001D2236">
        <w:t xml:space="preserve">as IMRA fordert dazu heraus, dass der Diskurs </w:t>
      </w:r>
      <w:r w:rsidR="00792E10">
        <w:t xml:space="preserve">über Schule und </w:t>
      </w:r>
      <w:r>
        <w:t>(</w:t>
      </w:r>
      <w:r w:rsidR="00792E10">
        <w:t>Religions</w:t>
      </w:r>
      <w:r>
        <w:t>-)</w:t>
      </w:r>
      <w:r w:rsidR="00E6141B">
        <w:t>U</w:t>
      </w:r>
      <w:r w:rsidR="00792E10">
        <w:t xml:space="preserve">nterricht nicht auf die operationalisierbare </w:t>
      </w:r>
      <w:r w:rsidR="001D2236">
        <w:t xml:space="preserve">Ebene </w:t>
      </w:r>
      <w:r w:rsidR="00792E10">
        <w:t>von Standards und Kompetenzen verkürzt</w:t>
      </w:r>
      <w:r w:rsidR="00845959">
        <w:t>,</w:t>
      </w:r>
      <w:r w:rsidR="00792E10">
        <w:t xml:space="preserve"> </w:t>
      </w:r>
      <w:r w:rsidR="001D2236">
        <w:t>geführt wird, sondern das</w:t>
      </w:r>
      <w:r w:rsidR="008F6872">
        <w:t>s</w:t>
      </w:r>
      <w:r w:rsidR="00275173">
        <w:t xml:space="preserve"> </w:t>
      </w:r>
      <w:r w:rsidR="00275173">
        <w:lastRenderedPageBreak/>
        <w:t xml:space="preserve">grundlegende religionsdidaktische </w:t>
      </w:r>
      <w:r w:rsidR="001D2236">
        <w:t>Begründung</w:t>
      </w:r>
      <w:r w:rsidR="00275173">
        <w:t>sfragen nicht unter den Tisch fallen.</w:t>
      </w:r>
      <w:r w:rsidR="00E04C67">
        <w:t xml:space="preserve"> Insofern sind Prioritäten in der Ausbildung notwendig.</w:t>
      </w:r>
    </w:p>
    <w:p w14:paraId="672A043B" w14:textId="77777777" w:rsidR="001D2236" w:rsidRDefault="00275173" w:rsidP="00275173">
      <w:r>
        <w:t>3.1. Primäre Orientierung religionsdidaktischen Handelns</w:t>
      </w:r>
    </w:p>
    <w:p w14:paraId="672A043C" w14:textId="4675DE9D" w:rsidR="00CE29B2" w:rsidRDefault="003A586C" w:rsidP="001D2236">
      <w:r>
        <w:t>Während sich der Kompeten</w:t>
      </w:r>
      <w:r w:rsidR="00275173">
        <w:t>z</w:t>
      </w:r>
      <w:r>
        <w:t>diskurs</w:t>
      </w:r>
      <w:r w:rsidR="00AD7150">
        <w:t xml:space="preserve"> auf Schulebene</w:t>
      </w:r>
      <w:r>
        <w:t xml:space="preserve"> weitgehend </w:t>
      </w:r>
      <w:r w:rsidR="00E411DC">
        <w:t>eine</w:t>
      </w:r>
      <w:r>
        <w:t>r</w:t>
      </w:r>
      <w:r w:rsidR="00E411DC">
        <w:t xml:space="preserve"> schulisch-effektive</w:t>
      </w:r>
      <w:r w:rsidR="00AD7150">
        <w:t>n</w:t>
      </w:r>
      <w:r w:rsidR="00E411DC">
        <w:t xml:space="preserve"> Konkretisierung von EU-Richtlinien zum Lebenslangen</w:t>
      </w:r>
      <w:r w:rsidR="007F374C">
        <w:t>-</w:t>
      </w:r>
      <w:r w:rsidR="00E411DC">
        <w:t xml:space="preserve">Lernen und damit </w:t>
      </w:r>
      <w:r w:rsidR="00AD7150">
        <w:t xml:space="preserve">auch </w:t>
      </w:r>
      <w:r w:rsidR="00E411DC">
        <w:t>der Logik der ökonomisch ausgerichteten Wissens</w:t>
      </w:r>
      <w:r w:rsidR="00AD7150">
        <w:t>gesellschaft II verpflichtet weiß</w:t>
      </w:r>
      <w:r w:rsidR="00AD7150">
        <w:rPr>
          <w:rStyle w:val="Funotenzeichen"/>
        </w:rPr>
        <w:footnoteReference w:id="24"/>
      </w:r>
      <w:r w:rsidR="00E411DC">
        <w:t xml:space="preserve">, </w:t>
      </w:r>
      <w:r w:rsidR="00BF41D0">
        <w:t>mahnt</w:t>
      </w:r>
      <w:r w:rsidR="00AD7150">
        <w:t xml:space="preserve"> das </w:t>
      </w:r>
      <w:r w:rsidR="00E411DC">
        <w:t xml:space="preserve">IMRA </w:t>
      </w:r>
      <w:r w:rsidR="00AD7150">
        <w:t>eine</w:t>
      </w:r>
      <w:r w:rsidR="00BF41D0">
        <w:t xml:space="preserve"> </w:t>
      </w:r>
      <w:r w:rsidR="00E411DC">
        <w:t>theologisch</w:t>
      </w:r>
      <w:r w:rsidR="00BF41D0">
        <w:t>-kritische Reflexion von Schule und Unterricht an, die auf das gute Leben für alle ausgerichtet ist und den Horizont für das Transzendente offen hält.</w:t>
      </w:r>
      <w:r w:rsidR="00E411DC">
        <w:rPr>
          <w:rStyle w:val="Funotenzeichen"/>
        </w:rPr>
        <w:footnoteReference w:id="25"/>
      </w:r>
      <w:r w:rsidR="00E04C67">
        <w:t xml:space="preserve"> Um den</w:t>
      </w:r>
      <w:r w:rsidR="00F5423F">
        <w:t xml:space="preserve"> theologische</w:t>
      </w:r>
      <w:r w:rsidR="00E04C67">
        <w:t>n Blick auf das (Religion-)Lernen</w:t>
      </w:r>
      <w:r w:rsidR="00F5423F">
        <w:t xml:space="preserve"> </w:t>
      </w:r>
      <w:r w:rsidR="00E04C67">
        <w:t>offen zu halten und Bildungs- und Schulideologien auch kritisch aufbrechen zu können</w:t>
      </w:r>
      <w:r w:rsidR="00F5423F">
        <w:t>, beda</w:t>
      </w:r>
      <w:r w:rsidR="00E04C67">
        <w:t xml:space="preserve">rf es nach wie vor der Ausbildung korrelativer bzw. </w:t>
      </w:r>
      <w:proofErr w:type="spellStart"/>
      <w:r w:rsidR="00E04C67">
        <w:t>abduktiver</w:t>
      </w:r>
      <w:proofErr w:type="spellEnd"/>
      <w:r w:rsidR="00F5423F">
        <w:t xml:space="preserve">, </w:t>
      </w:r>
      <w:r w:rsidR="00E51BC6">
        <w:t>differenzhermeneutisch bewusster</w:t>
      </w:r>
      <w:r w:rsidR="000E5422">
        <w:t>,</w:t>
      </w:r>
      <w:r w:rsidR="00F5423F">
        <w:t xml:space="preserve"> th</w:t>
      </w:r>
      <w:r w:rsidR="00E51BC6">
        <w:t>eologischer</w:t>
      </w:r>
      <w:r w:rsidR="00BF41D0">
        <w:t xml:space="preserve"> Kompetenzen</w:t>
      </w:r>
      <w:r w:rsidR="00E04C67">
        <w:t>, welche Alltagsszenarien</w:t>
      </w:r>
      <w:r w:rsidR="00F5423F">
        <w:t xml:space="preserve"> in Schule und Unterricht, ja das Schul- und Unterrichtsgeschehen</w:t>
      </w:r>
      <w:r w:rsidR="00E04C67">
        <w:t xml:space="preserve"> in seinen generellen </w:t>
      </w:r>
      <w:r w:rsidR="00642E04">
        <w:t>Zusammenhängen,</w:t>
      </w:r>
      <w:r w:rsidR="00F5423F">
        <w:t xml:space="preserve"> als theologische </w:t>
      </w:r>
      <w:r w:rsidR="00E04C67">
        <w:t>Herausforderungen begreifen können</w:t>
      </w:r>
      <w:r w:rsidR="0026701F">
        <w:t xml:space="preserve">, </w:t>
      </w:r>
      <w:r w:rsidR="008F6872">
        <w:t>eine humanwissenschaftliche Analys</w:t>
      </w:r>
      <w:r w:rsidR="0026701F">
        <w:t>e selbstverständlich eingeschlossen</w:t>
      </w:r>
      <w:r w:rsidR="00F5423F">
        <w:t>.</w:t>
      </w:r>
      <w:r w:rsidR="00642E04">
        <w:t xml:space="preserve"> </w:t>
      </w:r>
      <w:r w:rsidR="0026701F">
        <w:t>Allzu nahe liegen in der standard-/kompetenzorientieren</w:t>
      </w:r>
      <w:r w:rsidR="00642E04">
        <w:t xml:space="preserve"> Ausrichtung von Schule und Unterricht die Grenzen zwischen leb</w:t>
      </w:r>
      <w:r w:rsidR="0026701F">
        <w:t>ensfördernden nicht zuletzt in</w:t>
      </w:r>
      <w:r w:rsidR="00642E04">
        <w:t xml:space="preserve"> </w:t>
      </w:r>
      <w:r w:rsidR="0026701F">
        <w:t>reformpädagogischen Ansätzen gründenden</w:t>
      </w:r>
      <w:r w:rsidR="00642E04">
        <w:t xml:space="preserve"> Initiativen und der Umkehrung v</w:t>
      </w:r>
      <w:r w:rsidR="0026701F">
        <w:t>on Bildung in ein marktgesteuertes</w:t>
      </w:r>
      <w:r w:rsidR="00642E04">
        <w:t xml:space="preserve"> </w:t>
      </w:r>
      <w:r w:rsidR="0026701F">
        <w:t>Ausbildungssystem. Bei der theologisch-kritischen Sicht auf Schule und Unterricht erscheint mir bedeutsam, dass sie nicht von außen oder von oben herab</w:t>
      </w:r>
      <w:r w:rsidR="00FA70DE">
        <w:t xml:space="preserve"> geschieht, als</w:t>
      </w:r>
      <w:r w:rsidR="0026701F">
        <w:t xml:space="preserve"> seien ReligionspädagogInnen nicht auch selbst in ideologische Bildungszusammenhänge involviert.</w:t>
      </w:r>
      <w:r w:rsidR="0026701F">
        <w:rPr>
          <w:rStyle w:val="Funotenzeichen"/>
        </w:rPr>
        <w:footnoteReference w:id="26"/>
      </w:r>
      <w:r w:rsidR="008F6872">
        <w:t xml:space="preserve"> </w:t>
      </w:r>
    </w:p>
    <w:p w14:paraId="672A043D" w14:textId="77777777" w:rsidR="00CE29B2" w:rsidRDefault="00CE29B2" w:rsidP="00E51BC6">
      <w:pPr>
        <w:pStyle w:val="Listenabsatz"/>
        <w:numPr>
          <w:ilvl w:val="1"/>
          <w:numId w:val="8"/>
        </w:numPr>
      </w:pPr>
      <w:r>
        <w:t>Wer den Stand</w:t>
      </w:r>
      <w:r w:rsidR="00DC2DBE">
        <w:t>ard-Kompetenz-</w:t>
      </w:r>
      <w:proofErr w:type="spellStart"/>
      <w:r w:rsidR="00DC2DBE">
        <w:t>Globe</w:t>
      </w:r>
      <w:proofErr w:type="spellEnd"/>
      <w:r w:rsidR="00DC2DBE">
        <w:t xml:space="preserve"> nicht kennt</w:t>
      </w:r>
      <w:r>
        <w:t>, den frisst er</w:t>
      </w:r>
    </w:p>
    <w:p w14:paraId="672A043E" w14:textId="326D62CD" w:rsidR="00856EC2" w:rsidRDefault="00CE29B2" w:rsidP="001D2236">
      <w:r>
        <w:t>Wie immer man zur Standard- Kompetenzorientierung von Schule und Unterricht</w:t>
      </w:r>
      <w:r w:rsidR="00642E04">
        <w:t xml:space="preserve"> </w:t>
      </w:r>
      <w:r>
        <w:t>stehen mag, sie ist im Moment ein</w:t>
      </w:r>
      <w:r w:rsidR="00DC2DBE">
        <w:t>e Realität. Diesbezüglich verändern</w:t>
      </w:r>
      <w:r>
        <w:t xml:space="preserve"> offenbar die immer lauter werdenden kritischen Stimmen gegenüber einer generellen Orientierung an standardisierten Kompetenzen kaum etwas. </w:t>
      </w:r>
      <w:r w:rsidR="00E156AD">
        <w:t>Von R. Cohn habe ich die un</w:t>
      </w:r>
      <w:r w:rsidR="00E51BC6">
        <w:t>umgängliche Bedeutung von Kontext-</w:t>
      </w:r>
      <w:r w:rsidR="00E156AD">
        <w:t xml:space="preserve">Faktoren </w:t>
      </w:r>
      <w:r w:rsidR="00E51BC6">
        <w:t xml:space="preserve">beachten </w:t>
      </w:r>
      <w:r w:rsidR="00E156AD">
        <w:t xml:space="preserve">gelernt: „Wer </w:t>
      </w:r>
      <w:r w:rsidR="00DC2DBE">
        <w:t xml:space="preserve">den </w:t>
      </w:r>
      <w:proofErr w:type="spellStart"/>
      <w:r w:rsidR="00DC2DBE">
        <w:t>Globe</w:t>
      </w:r>
      <w:proofErr w:type="spellEnd"/>
      <w:r w:rsidR="00DC2DBE">
        <w:t xml:space="preserve"> nicht kennt</w:t>
      </w:r>
      <w:r w:rsidR="00E156AD">
        <w:t xml:space="preserve">, den frisst er“, ist ein geflügeltes Wort von R. Cohn. Wenn wir uns das TZI-Dreieck in der Kugel (oder besser gesagt in einer </w:t>
      </w:r>
      <w:r w:rsidR="007F374C">
        <w:t>‚</w:t>
      </w:r>
      <w:r w:rsidR="00E156AD">
        <w:t>Zwiebel</w:t>
      </w:r>
      <w:r w:rsidR="007F374C">
        <w:t>‘</w:t>
      </w:r>
      <w:r w:rsidR="00E156AD">
        <w:t xml:space="preserve"> mit vielen Schalen) vorstellen, dann berührt und verändert der </w:t>
      </w:r>
      <w:proofErr w:type="spellStart"/>
      <w:r w:rsidR="00E156AD">
        <w:t>Globe</w:t>
      </w:r>
      <w:proofErr w:type="spellEnd"/>
      <w:r w:rsidR="00E156AD">
        <w:t xml:space="preserve"> alle anderen Faktoren des Ler</w:t>
      </w:r>
      <w:bookmarkStart w:id="0" w:name="_GoBack"/>
      <w:bookmarkEnd w:id="0"/>
      <w:r w:rsidR="00E156AD">
        <w:t>nens: das Ich (Subjekte) und das Wir (Interaktionen) ebenso, wie das E</w:t>
      </w:r>
      <w:r w:rsidR="00FA70DE">
        <w:t>s (Sache, Lerngegenstand) um das</w:t>
      </w:r>
      <w:r w:rsidR="00E156AD">
        <w:t xml:space="preserve"> es geht. </w:t>
      </w:r>
      <w:r w:rsidR="00887250">
        <w:t xml:space="preserve">Das Einbeziehen von so </w:t>
      </w:r>
      <w:r w:rsidR="00887250">
        <w:lastRenderedPageBreak/>
        <w:t xml:space="preserve">genannten </w:t>
      </w:r>
      <w:r w:rsidR="009D08CE">
        <w:t>Anforderungssituation</w:t>
      </w:r>
      <w:r w:rsidR="0096435F">
        <w:t>en beim Suchen und Finden</w:t>
      </w:r>
      <w:r w:rsidR="00887250">
        <w:t xml:space="preserve"> von Anliegen und Themen kan</w:t>
      </w:r>
      <w:r w:rsidR="00FA70DE">
        <w:t xml:space="preserve">n das Lerngeschehen </w:t>
      </w:r>
      <w:r w:rsidR="007F374C">
        <w:t>‚</w:t>
      </w:r>
      <w:r w:rsidR="00FA70DE">
        <w:t>erden</w:t>
      </w:r>
      <w:r w:rsidR="007F374C">
        <w:t>‘</w:t>
      </w:r>
      <w:r w:rsidR="00FA70DE">
        <w:t>, in</w:t>
      </w:r>
      <w:r w:rsidR="00887250">
        <w:t xml:space="preserve">dem nebulose Ziele und Anliegen ausgeschlossen werden, welche an keine </w:t>
      </w:r>
      <w:r w:rsidR="009D08CE">
        <w:t>Anforderungssituation</w:t>
      </w:r>
      <w:r w:rsidR="00887250">
        <w:t xml:space="preserve"> anzubinden sind. Gleichzeitig macht die Frage nach </w:t>
      </w:r>
      <w:r w:rsidR="009D08CE">
        <w:t>Anforderungssituation</w:t>
      </w:r>
      <w:r w:rsidR="00887250">
        <w:t>en gerade auch im Hinblick auf den Religionsunter</w:t>
      </w:r>
      <w:r w:rsidR="00E6141B">
        <w:t>r</w:t>
      </w:r>
      <w:r w:rsidR="00887250">
        <w:t xml:space="preserve">icht sichtbar, dass er sich nicht mit einer kurzfristig messbaren </w:t>
      </w:r>
      <w:proofErr w:type="spellStart"/>
      <w:r w:rsidR="00887250">
        <w:t>Outcome</w:t>
      </w:r>
      <w:proofErr w:type="spellEnd"/>
      <w:r w:rsidR="007F374C">
        <w:t>-</w:t>
      </w:r>
      <w:r w:rsidR="00887250">
        <w:t xml:space="preserve">Orientierung begnügen darf, </w:t>
      </w:r>
      <w:r w:rsidR="00FA70DE">
        <w:t>denn</w:t>
      </w:r>
      <w:r w:rsidR="00856EC2">
        <w:t xml:space="preserve"> wie F</w:t>
      </w:r>
      <w:r w:rsidR="00887250">
        <w:t xml:space="preserve">. Schweitzer </w:t>
      </w:r>
      <w:r w:rsidR="00856EC2">
        <w:t xml:space="preserve">richtig </w:t>
      </w:r>
      <w:r w:rsidR="00887250">
        <w:t>sagt</w:t>
      </w:r>
      <w:r w:rsidR="00A863FB">
        <w:t xml:space="preserve">, ist </w:t>
      </w:r>
      <w:r w:rsidR="00856EC2">
        <w:t>das Beste am Religionsunter</w:t>
      </w:r>
      <w:r w:rsidR="00E6141B">
        <w:t>r</w:t>
      </w:r>
      <w:r w:rsidR="00A863FB">
        <w:t xml:space="preserve">icht nicht messbar. </w:t>
      </w:r>
      <w:r w:rsidR="00856EC2">
        <w:t>Insofern relativiert sich speziell im</w:t>
      </w:r>
      <w:r w:rsidR="00112CE5">
        <w:t xml:space="preserve"> Hinblick auf den RU</w:t>
      </w:r>
      <w:r w:rsidR="00856EC2">
        <w:t xml:space="preserve"> ein zu stringenter Zusammenhang von Standard und Kompetenz. </w:t>
      </w:r>
    </w:p>
    <w:p w14:paraId="672A043F" w14:textId="77777777" w:rsidR="00856EC2" w:rsidRDefault="00DC2DBE" w:rsidP="00E51BC6">
      <w:pPr>
        <w:pStyle w:val="Listenabsatz"/>
        <w:numPr>
          <w:ilvl w:val="1"/>
          <w:numId w:val="8"/>
        </w:numPr>
      </w:pPr>
      <w:r>
        <w:t>Hermeneutisch fundierte Planungs-/Leitungs-/Prozess-/Evaluierungskompetenzen erschließen, um kompetenzorientierten RU zu fördern</w:t>
      </w:r>
    </w:p>
    <w:p w14:paraId="672A0440" w14:textId="5445B049" w:rsidR="00D203C1" w:rsidRDefault="00856EC2">
      <w:r>
        <w:t>Didaktische Konzepte, die stark an der Messbarkeit und Vergleichbarkeit von Schule und Unterricht orientiert sind, wie das beim standardisierten Kompetenzkonzept der Fall ist, s</w:t>
      </w:r>
      <w:r w:rsidR="007F374C">
        <w:t>ind</w:t>
      </w:r>
      <w:r>
        <w:t xml:space="preserve"> immer in Gefahr, den </w:t>
      </w:r>
      <w:r w:rsidR="00DC2DBE">
        <w:t xml:space="preserve">– </w:t>
      </w:r>
      <w:r>
        <w:t>nur langfristig feststellbaren</w:t>
      </w:r>
      <w:r w:rsidR="00BB38F2">
        <w:t xml:space="preserve"> –</w:t>
      </w:r>
      <w:r>
        <w:t xml:space="preserve"> Wert</w:t>
      </w:r>
      <w:r w:rsidR="00BB38F2">
        <w:t xml:space="preserve"> </w:t>
      </w:r>
      <w:r>
        <w:t>von Interaktions- und Kommunikationsprozessen für das Lernen von SchülerInnen zu unterschätzen. Damit verbunden ist nicht selten auch ein gewisses</w:t>
      </w:r>
      <w:r w:rsidR="00BB38F2">
        <w:t xml:space="preserve"> Misstrauen in die </w:t>
      </w:r>
      <w:proofErr w:type="spellStart"/>
      <w:r w:rsidR="00BB38F2">
        <w:t>LehrerInnenk</w:t>
      </w:r>
      <w:r>
        <w:t>ompetenz</w:t>
      </w:r>
      <w:proofErr w:type="spellEnd"/>
      <w:r>
        <w:t>, das Lerne</w:t>
      </w:r>
      <w:r w:rsidR="00BB38F2">
        <w:t>n der SchülerInnen so anleiten zu können</w:t>
      </w:r>
      <w:r>
        <w:t xml:space="preserve">, dass es </w:t>
      </w:r>
      <w:r w:rsidR="00C65C88">
        <w:t>‚</w:t>
      </w:r>
      <w:r>
        <w:t>Erfolg</w:t>
      </w:r>
      <w:r w:rsidR="00C65C88">
        <w:t>‘</w:t>
      </w:r>
      <w:r>
        <w:t xml:space="preserve"> hat. </w:t>
      </w:r>
      <w:r w:rsidR="00BB38F2">
        <w:t>Es sei daran erinnert, dass der Höhepunkt des Misstrauens gegenüber den von LehrerInnen verantworteten Lehr-/Lernprozessen</w:t>
      </w:r>
      <w:r>
        <w:t xml:space="preserve"> </w:t>
      </w:r>
      <w:r w:rsidR="00C65C88">
        <w:t>‚</w:t>
      </w:r>
      <w:r>
        <w:t>lehrersichere Curricula</w:t>
      </w:r>
      <w:r w:rsidR="00C65C88">
        <w:t>‘</w:t>
      </w:r>
      <w:r>
        <w:t xml:space="preserve"> </w:t>
      </w:r>
      <w:r w:rsidR="00BB38F2">
        <w:t>waren,</w:t>
      </w:r>
      <w:r>
        <w:t xml:space="preserve"> die als eine Art geschlossener Lernprogramme</w:t>
      </w:r>
      <w:r w:rsidR="00A51421">
        <w:t xml:space="preserve"> die SchülerInnen/LehrerInnen Interaktion gerade in ihrer Konflikthaftigkeit und Störanfälligkeit zu unterbinden trachteten. In der Evaluierung des Einsatzes solcher Lernprogramme ko</w:t>
      </w:r>
      <w:r w:rsidR="00BB38F2">
        <w:t>nnte man aber sehr schnell feststellen</w:t>
      </w:r>
      <w:r w:rsidR="00A51421">
        <w:t>, dass sich mit deren Geschlossenheit und Zielgerichtetheit das</w:t>
      </w:r>
      <w:r w:rsidR="00FA70DE">
        <w:t xml:space="preserve"> </w:t>
      </w:r>
      <w:r w:rsidR="00C65C88">
        <w:t>‚</w:t>
      </w:r>
      <w:r w:rsidR="00A51421">
        <w:t>versteckte</w:t>
      </w:r>
      <w:r w:rsidR="00C65C88">
        <w:t>‘</w:t>
      </w:r>
      <w:r w:rsidR="00A51421">
        <w:t xml:space="preserve"> Curriculum, also die Interaktion der Schülerinnen </w:t>
      </w:r>
      <w:r w:rsidR="00C65C88">
        <w:t>‚</w:t>
      </w:r>
      <w:r w:rsidR="00A51421">
        <w:t>unter der Bank</w:t>
      </w:r>
      <w:r w:rsidR="00C65C88">
        <w:t>‘</w:t>
      </w:r>
      <w:r w:rsidR="00A51421">
        <w:t>, umso lebensfroher entwickeln konnte</w:t>
      </w:r>
      <w:r w:rsidR="00FA70DE">
        <w:t>. We</w:t>
      </w:r>
      <w:r w:rsidR="00A51421">
        <w:t>r die Kompetenz zur Leitung v</w:t>
      </w:r>
      <w:r w:rsidR="00BB38F2">
        <w:t>on k</w:t>
      </w:r>
      <w:r w:rsidR="00A51421">
        <w:t>onflikt</w:t>
      </w:r>
      <w:r w:rsidR="00BB38F2">
        <w:t>-</w:t>
      </w:r>
      <w:r w:rsidR="00A51421">
        <w:t xml:space="preserve"> und störanfälligen Lernprozessen als lebendige Interaktionsprozesse zwischen LehrerInnen und SchülerInnen und der SchülerInnen untereinander an existenziell bedeutsamen, generativen Themen durch die Orientierung an standardisierten Kompetenzen mit messbarem Output in der </w:t>
      </w:r>
      <w:proofErr w:type="spellStart"/>
      <w:r w:rsidR="00A51421">
        <w:t>LehrerInnenausbildung</w:t>
      </w:r>
      <w:proofErr w:type="spellEnd"/>
      <w:r w:rsidR="00A51421">
        <w:t xml:space="preserve"> ersetzen will, verliert sich</w:t>
      </w:r>
      <w:r w:rsidR="00A1289E">
        <w:t xml:space="preserve">  i</w:t>
      </w:r>
      <w:r w:rsidR="009D7892">
        <w:t>n einer unrealistischen Effizienzideologie. Letztlich kann es nur darum gehen</w:t>
      </w:r>
      <w:r w:rsidR="00BB38F2">
        <w:t>,</w:t>
      </w:r>
      <w:r w:rsidR="009D7892">
        <w:t xml:space="preserve"> in einer angemessenen </w:t>
      </w:r>
      <w:r w:rsidR="00FA70DE">
        <w:t>Balance</w:t>
      </w:r>
      <w:r w:rsidR="009D7892">
        <w:t xml:space="preserve"> Prozessen gerade auch deswegen zu vertrauen, weil deren Lebend</w:t>
      </w:r>
      <w:r w:rsidR="00BB38F2">
        <w:t>igkeit und Unkalkulierbarkeit für eine angemessene</w:t>
      </w:r>
      <w:r w:rsidR="009D7892">
        <w:t xml:space="preserve"> Kompetenzförderung </w:t>
      </w:r>
      <w:r w:rsidR="00BB38F2">
        <w:t xml:space="preserve">bei SchülerInnen </w:t>
      </w:r>
      <w:r w:rsidR="009D7892">
        <w:t xml:space="preserve">unumgänglich notwendig sind. </w:t>
      </w:r>
    </w:p>
    <w:p w14:paraId="672A0441" w14:textId="77777777" w:rsidR="004F4B14" w:rsidRDefault="004F4B14" w:rsidP="00E51BC6">
      <w:pPr>
        <w:pStyle w:val="Listenabsatz"/>
        <w:numPr>
          <w:ilvl w:val="1"/>
          <w:numId w:val="8"/>
        </w:numPr>
      </w:pPr>
      <w:r>
        <w:t>Zusätzliche Kompetenzen im Kontext des Standar</w:t>
      </w:r>
      <w:r w:rsidR="00792E10">
        <w:t>d</w:t>
      </w:r>
      <w:r>
        <w:t>-/Kompetenzdiskurses</w:t>
      </w:r>
    </w:p>
    <w:p w14:paraId="672A0442" w14:textId="77777777" w:rsidR="00F46007" w:rsidRDefault="00F46007" w:rsidP="00F46007">
      <w:r>
        <w:t>Blickt man (kritisch) auf den derzeitigen Standard-/Kompetenzdiskurs im Kontext schulischen Lernen</w:t>
      </w:r>
      <w:r w:rsidR="00A863FB">
        <w:t>s, dann sollten im IMRA folgende weitere Kompetenzen entwickelt werden:</w:t>
      </w:r>
    </w:p>
    <w:p w14:paraId="672A0443" w14:textId="183C678E" w:rsidR="00866558" w:rsidRDefault="00BB38F2" w:rsidP="00BB38F2">
      <w:r>
        <w:t xml:space="preserve">- </w:t>
      </w:r>
      <w:r w:rsidR="005B3DE9">
        <w:t>D</w:t>
      </w:r>
      <w:r w:rsidR="007C01B0">
        <w:t xml:space="preserve">ie Anwendbarkeit des Gelernten </w:t>
      </w:r>
      <w:r w:rsidR="00866558">
        <w:t xml:space="preserve">bei der theologisch-didaktisch </w:t>
      </w:r>
      <w:proofErr w:type="gramStart"/>
      <w:r w:rsidR="00866558">
        <w:t>orientierten</w:t>
      </w:r>
      <w:proofErr w:type="gramEnd"/>
      <w:r w:rsidR="00866558">
        <w:t xml:space="preserve"> Suche nach Anliegen</w:t>
      </w:r>
      <w:r>
        <w:t>/Zielen</w:t>
      </w:r>
      <w:r w:rsidR="00866558">
        <w:t xml:space="preserve"> und Themen </w:t>
      </w:r>
      <w:r w:rsidR="007C01B0">
        <w:t>ins Spiel</w:t>
      </w:r>
      <w:r w:rsidR="00866558">
        <w:t xml:space="preserve"> bringen können</w:t>
      </w:r>
      <w:r w:rsidR="007C01B0">
        <w:t>.</w:t>
      </w:r>
    </w:p>
    <w:p w14:paraId="672A0444" w14:textId="605D60AA" w:rsidR="00866558" w:rsidRDefault="00BB38F2" w:rsidP="00866558">
      <w:r>
        <w:t xml:space="preserve">- </w:t>
      </w:r>
      <w:r w:rsidR="00866558">
        <w:t>D</w:t>
      </w:r>
      <w:r w:rsidR="007C01B0">
        <w:t>urch die Frage nach möglichen (generellen</w:t>
      </w:r>
      <w:r>
        <w:t>/konkreten</w:t>
      </w:r>
      <w:r w:rsidR="007C01B0">
        <w:t xml:space="preserve">) </w:t>
      </w:r>
      <w:r w:rsidR="009D08CE">
        <w:t>Anforderungssituation</w:t>
      </w:r>
      <w:r w:rsidR="007C01B0">
        <w:t xml:space="preserve">en zu präziseren </w:t>
      </w:r>
      <w:r>
        <w:t xml:space="preserve">Anliegen-/Themenformulierungen </w:t>
      </w:r>
      <w:r w:rsidR="007C01B0">
        <w:t>kommen</w:t>
      </w:r>
      <w:r w:rsidR="00866558">
        <w:t xml:space="preserve"> können</w:t>
      </w:r>
      <w:r w:rsidR="007C01B0">
        <w:t xml:space="preserve">. </w:t>
      </w:r>
    </w:p>
    <w:p w14:paraId="672A0445" w14:textId="65A5B74E" w:rsidR="00BB38F2" w:rsidRDefault="00BB38F2" w:rsidP="00866558">
      <w:r>
        <w:t xml:space="preserve">- </w:t>
      </w:r>
      <w:r w:rsidR="00866558">
        <w:t>Ziele/A</w:t>
      </w:r>
      <w:r w:rsidR="007C01B0">
        <w:t>nliegen so thematisieren und strukturieren</w:t>
      </w:r>
      <w:r w:rsidR="00866558">
        <w:t xml:space="preserve"> </w:t>
      </w:r>
      <w:r w:rsidR="00C65C88">
        <w:t xml:space="preserve">zu </w:t>
      </w:r>
      <w:r w:rsidR="00866558">
        <w:t xml:space="preserve">können, dass </w:t>
      </w:r>
      <w:r w:rsidR="007C01B0">
        <w:t xml:space="preserve">ein offener </w:t>
      </w:r>
      <w:proofErr w:type="spellStart"/>
      <w:r w:rsidR="007C01B0">
        <w:t>Lernraum</w:t>
      </w:r>
      <w:proofErr w:type="spellEnd"/>
      <w:r w:rsidR="007C01B0">
        <w:t xml:space="preserve"> entsteht, in den sich potentiell alle (auch die LehrerInnen) einklinken können. </w:t>
      </w:r>
    </w:p>
    <w:p w14:paraId="672A0446" w14:textId="21762B64" w:rsidR="00112CE5" w:rsidRDefault="007C01B0" w:rsidP="00112CE5">
      <w:r>
        <w:t>Gerade im Hinblick auf die Themenfindung</w:t>
      </w:r>
      <w:r w:rsidR="00C65C88">
        <w:t>,</w:t>
      </w:r>
      <w:r>
        <w:t xml:space="preserve"> (kreative) Themenformulierung und auf die Strukturierung von Lernprozessen kann die Frage nach möglichen (durchaus auch überprüfbaren) </w:t>
      </w:r>
      <w:r w:rsidR="009D08CE">
        <w:lastRenderedPageBreak/>
        <w:t>Anforderungssituation</w:t>
      </w:r>
      <w:r>
        <w:t>en neue Möglichkeiten stimulieren. In diesem Sinne stellen wir heute das IMRA mit folgendem Schema</w:t>
      </w:r>
      <w:r w:rsidR="005D5EC4">
        <w:rPr>
          <w:rStyle w:val="Funotenzeichen"/>
        </w:rPr>
        <w:footnoteReference w:id="27"/>
      </w:r>
      <w:r w:rsidR="00112CE5">
        <w:t xml:space="preserve"> dar:</w:t>
      </w:r>
    </w:p>
    <w:p w14:paraId="672A0447" w14:textId="77777777" w:rsidR="00A17029" w:rsidRPr="00112CE5" w:rsidRDefault="00112CE5" w:rsidP="00112CE5">
      <w:r>
        <w:rPr>
          <w:i/>
        </w:rPr>
        <w:t xml:space="preserve">Drittes </w:t>
      </w:r>
      <w:r w:rsidR="00F04F67" w:rsidRPr="00112CE5">
        <w:rPr>
          <w:i/>
        </w:rPr>
        <w:t>Schema hier einfügen</w:t>
      </w:r>
    </w:p>
    <w:sectPr w:rsidR="00A17029" w:rsidRPr="00112CE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8A806" w14:textId="77777777" w:rsidR="00EC5BDF" w:rsidRDefault="00EC5BDF" w:rsidP="00452F05">
      <w:pPr>
        <w:spacing w:after="0" w:line="240" w:lineRule="auto"/>
      </w:pPr>
      <w:r>
        <w:separator/>
      </w:r>
    </w:p>
  </w:endnote>
  <w:endnote w:type="continuationSeparator" w:id="0">
    <w:p w14:paraId="4BBA9ADB" w14:textId="77777777" w:rsidR="00EC5BDF" w:rsidRDefault="00EC5BDF" w:rsidP="0045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BE127" w14:textId="77777777" w:rsidR="00EC5BDF" w:rsidRDefault="00EC5BDF" w:rsidP="00452F05">
      <w:pPr>
        <w:spacing w:after="0" w:line="240" w:lineRule="auto"/>
      </w:pPr>
      <w:r>
        <w:separator/>
      </w:r>
    </w:p>
  </w:footnote>
  <w:footnote w:type="continuationSeparator" w:id="0">
    <w:p w14:paraId="1D5264EE" w14:textId="77777777" w:rsidR="00EC5BDF" w:rsidRDefault="00EC5BDF" w:rsidP="00452F05">
      <w:pPr>
        <w:spacing w:after="0" w:line="240" w:lineRule="auto"/>
      </w:pPr>
      <w:r>
        <w:continuationSeparator/>
      </w:r>
    </w:p>
  </w:footnote>
  <w:footnote w:id="1">
    <w:p w14:paraId="672A044C" w14:textId="77777777" w:rsidR="009471E4" w:rsidRDefault="009471E4">
      <w:pPr>
        <w:pStyle w:val="Funotentext"/>
      </w:pPr>
      <w:r>
        <w:rPr>
          <w:rStyle w:val="Funotenzeichen"/>
        </w:rPr>
        <w:footnoteRef/>
      </w:r>
      <w:r>
        <w:t xml:space="preserve"> Isenberg, Wolfgang (</w:t>
      </w:r>
      <w:proofErr w:type="spellStart"/>
      <w:r>
        <w:t>Hg</w:t>
      </w:r>
      <w:proofErr w:type="spellEnd"/>
      <w:r>
        <w:t xml:space="preserve">.): Kompetenz für die Praxis?: innovative Modelle der Religionslehreraus- und </w:t>
      </w:r>
    </w:p>
    <w:p w14:paraId="672A044D" w14:textId="4D6B5F10" w:rsidR="009471E4" w:rsidRDefault="009471E4">
      <w:pPr>
        <w:pStyle w:val="Funotentext"/>
      </w:pPr>
      <w:r>
        <w:t xml:space="preserve">-Fortbildung, </w:t>
      </w:r>
      <w:proofErr w:type="spellStart"/>
      <w:r>
        <w:t>Bensberg</w:t>
      </w:r>
      <w:proofErr w:type="spellEnd"/>
      <w:r>
        <w:t>: Thomas-</w:t>
      </w:r>
      <w:proofErr w:type="spellStart"/>
      <w:r>
        <w:t>Morus</w:t>
      </w:r>
      <w:proofErr w:type="spellEnd"/>
      <w:r>
        <w:t xml:space="preserve">-Akademie 2000 (= </w:t>
      </w:r>
      <w:proofErr w:type="spellStart"/>
      <w:r>
        <w:t>Bensberger</w:t>
      </w:r>
      <w:proofErr w:type="spellEnd"/>
      <w:r>
        <w:t xml:space="preserve"> Protokolle 101). </w:t>
      </w:r>
    </w:p>
  </w:footnote>
  <w:footnote w:id="2">
    <w:p w14:paraId="672A044E" w14:textId="2B2ACA72" w:rsidR="009471E4" w:rsidRDefault="009471E4">
      <w:pPr>
        <w:pStyle w:val="Funotentext"/>
      </w:pPr>
      <w:r>
        <w:rPr>
          <w:rStyle w:val="Funotenzeichen"/>
        </w:rPr>
        <w:footnoteRef/>
      </w:r>
      <w:r>
        <w:t xml:space="preserve"> Weitere Beiträge kamen von: Anne </w:t>
      </w:r>
      <w:proofErr w:type="spellStart"/>
      <w:r>
        <w:t>Arntz</w:t>
      </w:r>
      <w:proofErr w:type="spellEnd"/>
      <w:r>
        <w:t xml:space="preserve">, Helmut </w:t>
      </w:r>
      <w:proofErr w:type="spellStart"/>
      <w:r>
        <w:t>Ciuraj</w:t>
      </w:r>
      <w:proofErr w:type="spellEnd"/>
      <w:r>
        <w:t xml:space="preserve">, Rudolf Englert, Christiane </w:t>
      </w:r>
      <w:proofErr w:type="spellStart"/>
      <w:r>
        <w:t>Gehltomholt</w:t>
      </w:r>
      <w:proofErr w:type="spellEnd"/>
      <w:r>
        <w:t xml:space="preserve">, Ralph </w:t>
      </w:r>
      <w:proofErr w:type="spellStart"/>
      <w:r>
        <w:t>Güt</w:t>
      </w:r>
      <w:proofErr w:type="spellEnd"/>
      <w:r>
        <w:t xml:space="preserve">, Astrid </w:t>
      </w:r>
      <w:proofErr w:type="spellStart"/>
      <w:r>
        <w:t>Hostmann</w:t>
      </w:r>
      <w:proofErr w:type="spellEnd"/>
      <w:r>
        <w:t xml:space="preserve">, Norbert Mette, Annegret Reese, Nadja Ringel, Martin </w:t>
      </w:r>
      <w:proofErr w:type="spellStart"/>
      <w:r>
        <w:t>Rothgangel</w:t>
      </w:r>
      <w:proofErr w:type="spellEnd"/>
      <w:r>
        <w:t>, Christel Wischnewski</w:t>
      </w:r>
      <w:r w:rsidR="007F5453">
        <w:t xml:space="preserve"> und </w:t>
      </w:r>
      <w:r>
        <w:t xml:space="preserve">Wilhelm </w:t>
      </w:r>
      <w:proofErr w:type="spellStart"/>
      <w:r>
        <w:t>Wittenbruch</w:t>
      </w:r>
      <w:proofErr w:type="spellEnd"/>
      <w:r>
        <w:t>.</w:t>
      </w:r>
    </w:p>
  </w:footnote>
  <w:footnote w:id="3">
    <w:p w14:paraId="672A044F" w14:textId="77777777" w:rsidR="009471E4" w:rsidRDefault="009471E4">
      <w:pPr>
        <w:pStyle w:val="Funotentext"/>
      </w:pPr>
      <w:r>
        <w:rPr>
          <w:rStyle w:val="Funotenzeichen"/>
        </w:rPr>
        <w:footnoteRef/>
      </w:r>
      <w:r>
        <w:t xml:space="preserve"> Die Abkürzung verwende ich erstmals in diesem Aufsatz.</w:t>
      </w:r>
    </w:p>
  </w:footnote>
  <w:footnote w:id="4">
    <w:p w14:paraId="672A0450" w14:textId="77777777" w:rsidR="009471E4" w:rsidRDefault="009471E4">
      <w:pPr>
        <w:pStyle w:val="Funotentext"/>
      </w:pPr>
      <w:r>
        <w:rPr>
          <w:rStyle w:val="Funotenzeichen"/>
        </w:rPr>
        <w:footnoteRef/>
      </w:r>
      <w:r>
        <w:t xml:space="preserve"> Dort leitete ich von 1986-1996 das Institut für Katechetik/Religionspädagogik und Pädagogik an der theologischen Hochschule (jetzt Privatuniversität). An der ersten Entwicklung des religionsdidaktischen Ansatzes waren speziell Franz Hofmann und Silvia Habringer-Hagleitner mitbeteiligt.</w:t>
      </w:r>
    </w:p>
  </w:footnote>
  <w:footnote w:id="5">
    <w:p w14:paraId="672A0451" w14:textId="77777777" w:rsidR="009471E4" w:rsidRPr="00C85A6D" w:rsidRDefault="009471E4">
      <w:pPr>
        <w:pStyle w:val="Funotentext"/>
      </w:pPr>
      <w:r>
        <w:rPr>
          <w:rStyle w:val="Funotenzeichen"/>
        </w:rPr>
        <w:footnoteRef/>
      </w:r>
      <w:r>
        <w:t xml:space="preserve"> Das IMRA ist auch verbaliter in den Innsbrucker Studienplänen erwähnt und bildet eine wesentliche Grundlage für die fachdidaktische  und schulpraktische Ausbildung  von </w:t>
      </w:r>
      <w:proofErr w:type="spellStart"/>
      <w:r>
        <w:t>ReligionslehrerInnen</w:t>
      </w:r>
      <w:proofErr w:type="spellEnd"/>
      <w:r>
        <w:t xml:space="preserve"> an der Universität.</w:t>
      </w:r>
    </w:p>
  </w:footnote>
  <w:footnote w:id="6">
    <w:p w14:paraId="672A0452" w14:textId="3E6D0A69" w:rsidR="009471E4" w:rsidRDefault="009471E4" w:rsidP="00E42B46">
      <w:pPr>
        <w:pStyle w:val="Funotentext"/>
      </w:pPr>
      <w:r>
        <w:rPr>
          <w:rStyle w:val="Funotenzeichen"/>
        </w:rPr>
        <w:footnoteRef/>
      </w:r>
      <w:r>
        <w:t xml:space="preserve"> Vgl. die beiden Buchreihen: </w:t>
      </w:r>
      <w:r w:rsidR="009760DF">
        <w:t xml:space="preserve">Hilberath, Bernd </w:t>
      </w:r>
      <w:r w:rsidR="005A34FD">
        <w:t xml:space="preserve">Jochen </w:t>
      </w:r>
      <w:r w:rsidR="009760DF">
        <w:t>/</w:t>
      </w:r>
      <w:r w:rsidR="005A34FD">
        <w:t xml:space="preserve"> </w:t>
      </w:r>
      <w:r w:rsidR="009760DF">
        <w:t xml:space="preserve">Scharer, </w:t>
      </w:r>
      <w:r w:rsidR="005A34FD">
        <w:t>Matthias</w:t>
      </w:r>
      <w:r w:rsidR="009760DF">
        <w:t xml:space="preserve"> (</w:t>
      </w:r>
      <w:proofErr w:type="spellStart"/>
      <w:r w:rsidR="009760DF">
        <w:t>Hg</w:t>
      </w:r>
      <w:proofErr w:type="spellEnd"/>
      <w:r w:rsidR="009760DF">
        <w:t>.):</w:t>
      </w:r>
      <w:r w:rsidR="005A34FD">
        <w:t xml:space="preserve"> </w:t>
      </w:r>
      <w:r>
        <w:t>Kommunikative Theologie</w:t>
      </w:r>
      <w:r w:rsidR="009760DF">
        <w:t>, Mainz:</w:t>
      </w:r>
      <w:r>
        <w:t xml:space="preserve"> Grünewald-Schwabenverlag</w:t>
      </w:r>
      <w:r w:rsidR="009760DF">
        <w:t xml:space="preserve"> 2002;</w:t>
      </w:r>
      <w:r>
        <w:t xml:space="preserve"> </w:t>
      </w:r>
      <w:r w:rsidR="009760DF">
        <w:t>Hilberath, Bernd Jochen / Hinze, Bradford / Scharer, Matthias (</w:t>
      </w:r>
      <w:proofErr w:type="spellStart"/>
      <w:r w:rsidR="009760DF">
        <w:t>Hg</w:t>
      </w:r>
      <w:proofErr w:type="spellEnd"/>
      <w:r w:rsidR="009760DF">
        <w:t xml:space="preserve">.) </w:t>
      </w:r>
      <w:r>
        <w:t>Kommunikative Theologie-interdisziplinär</w:t>
      </w:r>
      <w:r w:rsidR="009760DF">
        <w:t>,</w:t>
      </w:r>
      <w:r w:rsidR="00701971">
        <w:t xml:space="preserve"> Wien u.a.</w:t>
      </w:r>
      <w:r w:rsidR="009760DF">
        <w:t>:</w:t>
      </w:r>
      <w:r w:rsidR="00701971">
        <w:t xml:space="preserve"> </w:t>
      </w:r>
      <w:proofErr w:type="spellStart"/>
      <w:r>
        <w:t>Lit</w:t>
      </w:r>
      <w:proofErr w:type="spellEnd"/>
      <w:r>
        <w:t>-Verlag</w:t>
      </w:r>
      <w:r w:rsidR="00701971">
        <w:t xml:space="preserve"> 2006</w:t>
      </w:r>
      <w:r>
        <w:t>. Ein ausführliches Literaturverzeichnis findet sich in: Hilberath, Bernd Jochen</w:t>
      </w:r>
      <w:r w:rsidR="00501304">
        <w:t xml:space="preserve"> </w:t>
      </w:r>
      <w:r>
        <w:t>/ Scharer, Matthias</w:t>
      </w:r>
      <w:r w:rsidRPr="00D14587">
        <w:t>: Kommunikative Theologie. Grundlagen - Er</w:t>
      </w:r>
      <w:r>
        <w:t xml:space="preserve">fahrungen – Klärungen, </w:t>
      </w:r>
      <w:r w:rsidRPr="00D14587">
        <w:t>Ostfildern: Matthias-Grünewald</w:t>
      </w:r>
      <w:r>
        <w:t xml:space="preserve"> Verlag der Schwabenverlag AG 2012 (= Reihe Kommunikative Theologie 15)</w:t>
      </w:r>
      <w:r w:rsidRPr="00D14587">
        <w:t>.</w:t>
      </w:r>
    </w:p>
  </w:footnote>
  <w:footnote w:id="7">
    <w:p w14:paraId="672A0453" w14:textId="783544A5" w:rsidR="009471E4" w:rsidRDefault="009471E4">
      <w:pPr>
        <w:pStyle w:val="Funotentext"/>
      </w:pPr>
      <w:r>
        <w:rPr>
          <w:rStyle w:val="Funotenzeichen"/>
        </w:rPr>
        <w:footnoteRef/>
      </w:r>
      <w:r>
        <w:t xml:space="preserve"> Als Lehrbeauftragter des R. Cohn Instituts International bilde ich auch in TZI aus. Mehrere der inzwischen ausgeschiedenen und der derzeitigen MitarbeiterInnen im Fachbereich haben eine abgeschlossene oder Teil</w:t>
      </w:r>
      <w:r w:rsidR="007F5453">
        <w:t>-A</w:t>
      </w:r>
      <w:r>
        <w:t>usbildung (Basiszertifikat oder Diplom) in TZI absolviert.</w:t>
      </w:r>
    </w:p>
  </w:footnote>
  <w:footnote w:id="8">
    <w:p w14:paraId="672A0454" w14:textId="77777777" w:rsidR="009471E4" w:rsidRDefault="009471E4">
      <w:pPr>
        <w:pStyle w:val="Funotentext"/>
      </w:pPr>
      <w:r>
        <w:rPr>
          <w:rStyle w:val="Funotenzeichen"/>
        </w:rPr>
        <w:footnoteRef/>
      </w:r>
      <w:r>
        <w:t xml:space="preserve"> Am Beginn stand </w:t>
      </w:r>
      <w:proofErr w:type="gramStart"/>
      <w:r>
        <w:t>ein einwöchiger</w:t>
      </w:r>
      <w:proofErr w:type="gramEnd"/>
      <w:r>
        <w:t xml:space="preserve"> Workshop mit </w:t>
      </w:r>
      <w:proofErr w:type="spellStart"/>
      <w:r>
        <w:t>VertreterInnen</w:t>
      </w:r>
      <w:proofErr w:type="spellEnd"/>
      <w:r>
        <w:t xml:space="preserve"> praktisch aller Fächer an der Fakultät. Die Kooperation hat sich inzwischen auch auf andere Fakultäten erweitert. So gibt es seit mehr als zehn Jahren das jährliche Angebot eines gemeinsamen TZI-Seminars mit </w:t>
      </w:r>
      <w:proofErr w:type="spellStart"/>
      <w:r>
        <w:t>HistorikerInnen</w:t>
      </w:r>
      <w:proofErr w:type="spellEnd"/>
      <w:r>
        <w:t xml:space="preserve">. Eine Kollegin in diesem Fachbereich hat auch ein TZI-Diplom. </w:t>
      </w:r>
    </w:p>
  </w:footnote>
  <w:footnote w:id="9">
    <w:p w14:paraId="672A0455" w14:textId="77777777" w:rsidR="009471E4" w:rsidRPr="00A1289E" w:rsidRDefault="009471E4">
      <w:pPr>
        <w:pStyle w:val="Funotentext"/>
      </w:pPr>
      <w:r w:rsidRPr="00A1289E">
        <w:rPr>
          <w:rStyle w:val="Funotenzeichen"/>
        </w:rPr>
        <w:footnoteRef/>
      </w:r>
      <w:r w:rsidRPr="00A1289E">
        <w:t xml:space="preserve"> Scharer, Matthias: Religion unterrichten lernen. Das Innsbrucker Modell, in:</w:t>
      </w:r>
      <w:r w:rsidRPr="00A1289E">
        <w:rPr>
          <w:sz w:val="22"/>
          <w:szCs w:val="22"/>
        </w:rPr>
        <w:t xml:space="preserve"> </w:t>
      </w:r>
      <w:r w:rsidRPr="00A1289E">
        <w:t xml:space="preserve">Kompetenz für die Praxis? Innovative Modelle der Religionslehreraus- und -fortbildung, </w:t>
      </w:r>
      <w:proofErr w:type="spellStart"/>
      <w:r w:rsidRPr="00A1289E">
        <w:t>Bensberger</w:t>
      </w:r>
      <w:proofErr w:type="spellEnd"/>
      <w:r w:rsidRPr="00A1289E">
        <w:t xml:space="preserve"> Protokolle 101 (2000), </w:t>
      </w:r>
      <w:proofErr w:type="spellStart"/>
      <w:r w:rsidRPr="00A1289E">
        <w:t>hg</w:t>
      </w:r>
      <w:proofErr w:type="spellEnd"/>
      <w:r w:rsidRPr="00A1289E">
        <w:t>. von Wolfgang Isenberg, 56.</w:t>
      </w:r>
    </w:p>
  </w:footnote>
  <w:footnote w:id="10">
    <w:p w14:paraId="672A0456" w14:textId="2E975A5D" w:rsidR="009471E4" w:rsidRPr="00A1289E" w:rsidRDefault="009471E4">
      <w:pPr>
        <w:pStyle w:val="Funotentext"/>
        <w:rPr>
          <w:color w:val="FF0000"/>
          <w:lang w:val="de-DE"/>
        </w:rPr>
      </w:pPr>
      <w:r w:rsidRPr="00A1289E">
        <w:rPr>
          <w:rStyle w:val="Funotenzeichen"/>
        </w:rPr>
        <w:footnoteRef/>
      </w:r>
      <w:r w:rsidRPr="00A1289E">
        <w:t xml:space="preserve"> Englert, Rudolf: Müssen zukünftige Religionslehrerinnen und Religionslehrer wissen, was die Situation in ihrer Wohngemeinschaft mit Ekklesiologie zu tun hat? Anmerkungen zum Innsbrucker Modell von Matthias Scharer, in: Kompetenz für die Praxis? Innovative Modelle der Religionslehreraus- und -fortbildung, </w:t>
      </w:r>
      <w:proofErr w:type="spellStart"/>
      <w:r w:rsidRPr="00A1289E">
        <w:t>Bensberger</w:t>
      </w:r>
      <w:proofErr w:type="spellEnd"/>
      <w:r w:rsidRPr="00A1289E">
        <w:t xml:space="preserve"> Protokolle 101 (2000), </w:t>
      </w:r>
      <w:proofErr w:type="spellStart"/>
      <w:r w:rsidRPr="00A1289E">
        <w:t>hg</w:t>
      </w:r>
      <w:proofErr w:type="spellEnd"/>
      <w:r w:rsidRPr="00A1289E">
        <w:t>. von Wolfgang Isenberg, 69</w:t>
      </w:r>
      <w:r w:rsidR="00F60499" w:rsidRPr="00A1289E">
        <w:t>–</w:t>
      </w:r>
      <w:r w:rsidRPr="00A1289E">
        <w:t>73.</w:t>
      </w:r>
      <w:r w:rsidRPr="00A1289E">
        <w:rPr>
          <w:lang w:val="de-DE"/>
        </w:rPr>
        <w:t xml:space="preserve"> </w:t>
      </w:r>
    </w:p>
  </w:footnote>
  <w:footnote w:id="11">
    <w:p w14:paraId="672A0457" w14:textId="1941FEB0" w:rsidR="009471E4" w:rsidRDefault="009471E4">
      <w:pPr>
        <w:pStyle w:val="Funotentext"/>
      </w:pPr>
      <w:r>
        <w:rPr>
          <w:rStyle w:val="Funotenzeichen"/>
        </w:rPr>
        <w:footnoteRef/>
      </w:r>
      <w:r>
        <w:t xml:space="preserve"> Schare</w:t>
      </w:r>
      <w:r w:rsidR="00501304">
        <w:t>r 2000 [Anm. 9]</w:t>
      </w:r>
      <w:r w:rsidR="00F60499">
        <w:t>,</w:t>
      </w:r>
      <w:r>
        <w:t xml:space="preserve"> 57.</w:t>
      </w:r>
    </w:p>
  </w:footnote>
  <w:footnote w:id="12">
    <w:p w14:paraId="672A0458" w14:textId="13D454B2" w:rsidR="009471E4" w:rsidRDefault="009471E4">
      <w:pPr>
        <w:pStyle w:val="Funotentext"/>
      </w:pPr>
      <w:r>
        <w:rPr>
          <w:rStyle w:val="Funotenzeichen"/>
        </w:rPr>
        <w:footnoteRef/>
      </w:r>
      <w:r>
        <w:t xml:space="preserve"> Hemmerle, Klaus: Der Religionsunterricht als Vermittlungsgeschehen. Überlegungen zum Korrelationsprinzip, in: </w:t>
      </w:r>
      <w:proofErr w:type="spellStart"/>
      <w:r>
        <w:t>KatBl</w:t>
      </w:r>
      <w:proofErr w:type="spellEnd"/>
      <w:r>
        <w:t xml:space="preserve"> 119 (1994) 308ff.</w:t>
      </w:r>
    </w:p>
  </w:footnote>
  <w:footnote w:id="13">
    <w:p w14:paraId="672A0459" w14:textId="79C40DE5" w:rsidR="009471E4" w:rsidRDefault="009471E4">
      <w:pPr>
        <w:pStyle w:val="Funotentext"/>
      </w:pPr>
      <w:r>
        <w:rPr>
          <w:rStyle w:val="Funotenzeichen"/>
        </w:rPr>
        <w:footnoteRef/>
      </w:r>
      <w:r>
        <w:t xml:space="preserve"> Vgl. Scharer, Matthias: Das geschenkte Wir. Kommunikatives Lernen in der christlichen Gemeinde, in: Weber, Franz (</w:t>
      </w:r>
      <w:proofErr w:type="spellStart"/>
      <w:r>
        <w:t>H</w:t>
      </w:r>
      <w:r w:rsidR="00F60499">
        <w:t>g</w:t>
      </w:r>
      <w:proofErr w:type="spellEnd"/>
      <w:r>
        <w:t xml:space="preserve">.), Frischer Wind aus dem Süden: Impulse aus den Basisgemeinden, Innsbruck-Wien: </w:t>
      </w:r>
      <w:proofErr w:type="spellStart"/>
      <w:r>
        <w:t>Tyrolia</w:t>
      </w:r>
      <w:proofErr w:type="spellEnd"/>
      <w:r>
        <w:t xml:space="preserve"> 1998, 84</w:t>
      </w:r>
      <w:r w:rsidR="00F60499">
        <w:t>–</w:t>
      </w:r>
      <w:r>
        <w:t>100.</w:t>
      </w:r>
    </w:p>
  </w:footnote>
  <w:footnote w:id="14">
    <w:p w14:paraId="672A045A" w14:textId="097E1D09" w:rsidR="009471E4" w:rsidRDefault="009471E4">
      <w:pPr>
        <w:pStyle w:val="Funotentext"/>
      </w:pPr>
      <w:r>
        <w:rPr>
          <w:rStyle w:val="Funotenzeichen"/>
        </w:rPr>
        <w:footnoteRef/>
      </w:r>
      <w:r>
        <w:t xml:space="preserve"> </w:t>
      </w:r>
      <w:r w:rsidR="00501304" w:rsidRPr="00501304">
        <w:t>Scharer 2000 [Anm. 9]</w:t>
      </w:r>
      <w:r>
        <w:t>, 58.</w:t>
      </w:r>
    </w:p>
  </w:footnote>
  <w:footnote w:id="15">
    <w:p w14:paraId="672A045B" w14:textId="381A8AD1" w:rsidR="009471E4" w:rsidRDefault="009471E4">
      <w:pPr>
        <w:pStyle w:val="Funotentext"/>
      </w:pPr>
      <w:r>
        <w:rPr>
          <w:rStyle w:val="Funotenzeichen"/>
        </w:rPr>
        <w:footnoteRef/>
      </w:r>
      <w:r>
        <w:t xml:space="preserve"> </w:t>
      </w:r>
      <w:r w:rsidR="005716F4">
        <w:t>Ebd.</w:t>
      </w:r>
      <w:r w:rsidRPr="009827E6">
        <w:t xml:space="preserve">, </w:t>
      </w:r>
      <w:r>
        <w:t>61</w:t>
      </w:r>
      <w:r w:rsidRPr="00DF4FCE">
        <w:t>.</w:t>
      </w:r>
    </w:p>
  </w:footnote>
  <w:footnote w:id="16">
    <w:p w14:paraId="672A045C" w14:textId="2327EBB0" w:rsidR="009471E4" w:rsidRDefault="009471E4">
      <w:pPr>
        <w:pStyle w:val="Funotentext"/>
      </w:pPr>
      <w:r>
        <w:rPr>
          <w:rStyle w:val="Funotenzeichen"/>
        </w:rPr>
        <w:footnoteRef/>
      </w:r>
      <w:r>
        <w:t xml:space="preserve"> Englert</w:t>
      </w:r>
      <w:r w:rsidR="00501304">
        <w:t xml:space="preserve"> 2000 [Anm. 10]</w:t>
      </w:r>
      <w:r>
        <w:t>, 69.</w:t>
      </w:r>
    </w:p>
  </w:footnote>
  <w:footnote w:id="17">
    <w:p w14:paraId="672A045D" w14:textId="3FBC3AC5" w:rsidR="00F5793E" w:rsidRDefault="00F5793E" w:rsidP="00F5793E">
      <w:pPr>
        <w:pStyle w:val="Funotentext"/>
      </w:pPr>
      <w:r>
        <w:rPr>
          <w:rStyle w:val="Funotenzeichen"/>
        </w:rPr>
        <w:footnoteRef/>
      </w:r>
      <w:r>
        <w:t xml:space="preserve"> </w:t>
      </w:r>
      <w:r w:rsidR="0013057C">
        <w:t>Ebd.</w:t>
      </w:r>
      <w:r w:rsidRPr="009827E6">
        <w:rPr>
          <w:i/>
        </w:rPr>
        <w:t xml:space="preserve">, </w:t>
      </w:r>
      <w:r w:rsidRPr="00594A38">
        <w:t>69.</w:t>
      </w:r>
    </w:p>
  </w:footnote>
  <w:footnote w:id="18">
    <w:p w14:paraId="672A045E" w14:textId="08569590" w:rsidR="00F5793E" w:rsidRDefault="00F5793E" w:rsidP="00F5793E">
      <w:pPr>
        <w:pStyle w:val="Funotentext"/>
      </w:pPr>
      <w:r>
        <w:rPr>
          <w:rStyle w:val="Funotenzeichen"/>
        </w:rPr>
        <w:footnoteRef/>
      </w:r>
      <w:r>
        <w:t xml:space="preserve"> </w:t>
      </w:r>
      <w:r w:rsidR="0013057C">
        <w:t>Ebd.</w:t>
      </w:r>
      <w:r w:rsidRPr="009827E6">
        <w:t xml:space="preserve">, </w:t>
      </w:r>
      <w:r>
        <w:t>70</w:t>
      </w:r>
      <w:r w:rsidRPr="003B6C22">
        <w:t>.</w:t>
      </w:r>
    </w:p>
  </w:footnote>
  <w:footnote w:id="19">
    <w:p w14:paraId="672A045F" w14:textId="32F37EB9" w:rsidR="009471E4" w:rsidRDefault="009471E4">
      <w:pPr>
        <w:pStyle w:val="Funotentext"/>
      </w:pPr>
      <w:r>
        <w:rPr>
          <w:rStyle w:val="Funotenzeichen"/>
        </w:rPr>
        <w:footnoteRef/>
      </w:r>
      <w:r>
        <w:t xml:space="preserve"> </w:t>
      </w:r>
      <w:r w:rsidR="0013057C">
        <w:t>Ebd.</w:t>
      </w:r>
      <w:r w:rsidRPr="009827E6">
        <w:t xml:space="preserve">, </w:t>
      </w:r>
      <w:r>
        <w:t>71</w:t>
      </w:r>
      <w:r w:rsidRPr="0096735D">
        <w:t>.</w:t>
      </w:r>
    </w:p>
  </w:footnote>
  <w:footnote w:id="20">
    <w:p w14:paraId="672A0460" w14:textId="46956A3D" w:rsidR="009471E4" w:rsidRDefault="009471E4">
      <w:pPr>
        <w:pStyle w:val="Funotentext"/>
      </w:pPr>
      <w:r>
        <w:rPr>
          <w:rStyle w:val="Funotenzeichen"/>
        </w:rPr>
        <w:footnoteRef/>
      </w:r>
      <w:r>
        <w:t xml:space="preserve"> </w:t>
      </w:r>
      <w:r w:rsidR="0013057C">
        <w:t>Ebd.</w:t>
      </w:r>
      <w:r w:rsidRPr="009827E6">
        <w:t xml:space="preserve">, </w:t>
      </w:r>
      <w:r w:rsidRPr="0096735D">
        <w:t>71.</w:t>
      </w:r>
    </w:p>
  </w:footnote>
  <w:footnote w:id="21">
    <w:p w14:paraId="672A0461" w14:textId="047EA6A0" w:rsidR="00F5793E" w:rsidRDefault="00F5793E" w:rsidP="00F5793E">
      <w:pPr>
        <w:pStyle w:val="Funotentext"/>
      </w:pPr>
      <w:r>
        <w:rPr>
          <w:rStyle w:val="Funotenzeichen"/>
        </w:rPr>
        <w:footnoteRef/>
      </w:r>
      <w:r>
        <w:t xml:space="preserve"> </w:t>
      </w:r>
      <w:r w:rsidR="0013057C">
        <w:t>Ebd.</w:t>
      </w:r>
      <w:r w:rsidRPr="009827E6">
        <w:t xml:space="preserve">, </w:t>
      </w:r>
      <w:r w:rsidRPr="0096735D">
        <w:t>71.</w:t>
      </w:r>
    </w:p>
  </w:footnote>
  <w:footnote w:id="22">
    <w:p w14:paraId="672A0462" w14:textId="4D61FAC0" w:rsidR="009471E4" w:rsidRDefault="009471E4">
      <w:pPr>
        <w:pStyle w:val="Funotentext"/>
      </w:pPr>
      <w:r>
        <w:rPr>
          <w:rStyle w:val="Funotenzeichen"/>
        </w:rPr>
        <w:footnoteRef/>
      </w:r>
      <w:r>
        <w:t xml:space="preserve"> </w:t>
      </w:r>
      <w:r w:rsidRPr="004A1C36">
        <w:t>Englert</w:t>
      </w:r>
      <w:r w:rsidR="00EA7691" w:rsidRPr="00EA7691">
        <w:t xml:space="preserve"> </w:t>
      </w:r>
      <w:r w:rsidR="00EA7691">
        <w:t>2000 [Anm. 10</w:t>
      </w:r>
      <w:r w:rsidR="00EA7691" w:rsidRPr="00EA7691">
        <w:t>]</w:t>
      </w:r>
      <w:r w:rsidRPr="009827E6">
        <w:t xml:space="preserve">, </w:t>
      </w:r>
      <w:r>
        <w:t>72</w:t>
      </w:r>
      <w:r w:rsidRPr="004A1C36">
        <w:t>.</w:t>
      </w:r>
    </w:p>
  </w:footnote>
  <w:footnote w:id="23">
    <w:p w14:paraId="672A0463" w14:textId="77777777" w:rsidR="009471E4" w:rsidRPr="00DC4E7F" w:rsidRDefault="009471E4" w:rsidP="00C768AA">
      <w:pPr>
        <w:pStyle w:val="Funotentext"/>
      </w:pPr>
      <w:r>
        <w:rPr>
          <w:rStyle w:val="Funotenzeichen"/>
        </w:rPr>
        <w:footnoteRef/>
      </w:r>
      <w:r>
        <w:t xml:space="preserve"> </w:t>
      </w:r>
      <w:r w:rsidRPr="00DC4E7F">
        <w:t>Zu diesem Abschnitt muss angemerkt werden, dass leider weder eine quantitative noch eine qualitative empirische Untersuchung über das IMRA vorliegt. Solche Untersuchungen sind ein ausstehendes Forschungsdesiderat. Die folgende Evaluierung muss daher subjektiv bleiben.</w:t>
      </w:r>
    </w:p>
    <w:p w14:paraId="672A0464" w14:textId="77777777" w:rsidR="009471E4" w:rsidRDefault="009471E4" w:rsidP="00C768AA">
      <w:pPr>
        <w:pStyle w:val="Funotentext"/>
      </w:pPr>
    </w:p>
  </w:footnote>
  <w:footnote w:id="24">
    <w:p w14:paraId="4EB581E0" w14:textId="77777777" w:rsidR="00DB33B1" w:rsidRDefault="009471E4">
      <w:pPr>
        <w:pStyle w:val="Funotentext"/>
      </w:pPr>
      <w:r>
        <w:rPr>
          <w:rStyle w:val="Funotenzeichen"/>
        </w:rPr>
        <w:footnoteRef/>
      </w:r>
      <w:r>
        <w:t xml:space="preserve"> Prägnant wird das in der Umformulierung des </w:t>
      </w:r>
      <w:proofErr w:type="spellStart"/>
      <w:r>
        <w:t>Kantschen</w:t>
      </w:r>
      <w:proofErr w:type="spellEnd"/>
      <w:r>
        <w:t xml:space="preserve"> Mündigkeitsparadigmas sic</w:t>
      </w:r>
      <w:r w:rsidR="00FA70DE">
        <w:t>htbar: „Kants berühmten</w:t>
      </w:r>
      <w:r>
        <w:t xml:space="preserve"> Ausspruch über die Aufklärung paraphrasierend, lässt sich </w:t>
      </w:r>
      <w:r w:rsidR="00DB33B1">
        <w:t>[</w:t>
      </w:r>
      <w:r>
        <w:t>…</w:t>
      </w:r>
      <w:r w:rsidR="00DB33B1">
        <w:t>]</w:t>
      </w:r>
      <w:r>
        <w:t xml:space="preserve"> treffend zusammenfassen: ‚Unternehmerisch sein ist der Ausgang des Menschen aus seiner selbst verschuldeten Unproduktivität. Unproduktivität ist das Unvermögen, sich seines menschlichen Kapitals ohne Leitung eines anderen zu bedienen. Selbstverschuldet ist diese Unproduktivität, wenn die Ursache derselben nicht im Mangel an Humankapital, sondern am Mangel an Entschlossenheit und Mut liegt, sich seines Humankapitals ohne Leitung eines anderen zu bedienen</w:t>
      </w:r>
      <w:proofErr w:type="gramStart"/>
      <w:r>
        <w:t>.‘</w:t>
      </w:r>
      <w:proofErr w:type="gramEnd"/>
      <w:r>
        <w:t xml:space="preserve">“ </w:t>
      </w:r>
    </w:p>
    <w:p w14:paraId="672A0465" w14:textId="282EEF3A" w:rsidR="009471E4" w:rsidRPr="00AD7150" w:rsidRDefault="00DB33B1">
      <w:pPr>
        <w:pStyle w:val="Funotentext"/>
      </w:pPr>
      <w:r>
        <w:t xml:space="preserve">Vgl. </w:t>
      </w:r>
      <w:proofErr w:type="spellStart"/>
      <w:r w:rsidR="009471E4">
        <w:t>Masschelein</w:t>
      </w:r>
      <w:proofErr w:type="spellEnd"/>
      <w:r w:rsidR="009471E4">
        <w:t>, Jan</w:t>
      </w:r>
      <w:r>
        <w:t xml:space="preserve"> </w:t>
      </w:r>
      <w:r w:rsidR="009471E4">
        <w:t>/</w:t>
      </w:r>
      <w:r>
        <w:t xml:space="preserve"> </w:t>
      </w:r>
      <w:r w:rsidR="009471E4">
        <w:t xml:space="preserve">Simons, Maarten: Globale Immunität. Oder eine kleine Kartographie des europäischen Bildungsraums, Zürich: </w:t>
      </w:r>
      <w:proofErr w:type="spellStart"/>
      <w:r w:rsidR="009471E4">
        <w:t>diaphenes</w:t>
      </w:r>
      <w:proofErr w:type="spellEnd"/>
      <w:r w:rsidR="009471E4">
        <w:t xml:space="preserve"> 2012, 84f. </w:t>
      </w:r>
    </w:p>
  </w:footnote>
  <w:footnote w:id="25">
    <w:p w14:paraId="672A0466" w14:textId="4C745DF4" w:rsidR="009471E4" w:rsidRDefault="009471E4">
      <w:pPr>
        <w:pStyle w:val="Funotentext"/>
      </w:pPr>
      <w:r>
        <w:rPr>
          <w:rStyle w:val="Funotenzeichen"/>
        </w:rPr>
        <w:footnoteRef/>
      </w:r>
      <w:r>
        <w:t xml:space="preserve"> Dass RU mit dem guten Leben nichts zu tun habe, wie das Konrad Paul Liessmann in einem Interview in der Zeitung </w:t>
      </w:r>
      <w:r w:rsidR="00DB33B1">
        <w:t>‚</w:t>
      </w:r>
      <w:r>
        <w:t>Der Standard</w:t>
      </w:r>
      <w:r w:rsidR="00DB33B1">
        <w:t>‘</w:t>
      </w:r>
      <w:r>
        <w:t xml:space="preserve"> ausgeführt hat, entspricht nicht dem kirchlichen Selbstverständnis von RU, wie es zumindest seit dem Würzburger Synodentext, also seit ca. 40 Jahren, besteht. Einen wesentlichen Unterschied zwischen einem Ethikunterricht und dem RU im Hinblick auf das </w:t>
      </w:r>
      <w:r w:rsidR="00DB33B1">
        <w:t>‚</w:t>
      </w:r>
      <w:r>
        <w:t>gute Leben</w:t>
      </w:r>
      <w:r w:rsidR="00DB33B1">
        <w:t>‘</w:t>
      </w:r>
      <w:r>
        <w:t xml:space="preserve"> sehe ich darin, dass sich aus der biblisch ethischen Orientierung heraus die Aufmerksamkeit für das gute Leben auf alle Geschöpfe und auf die Schöpfung selbst richtet und deren Kontingenz anerkennt.</w:t>
      </w:r>
    </w:p>
  </w:footnote>
  <w:footnote w:id="26">
    <w:p w14:paraId="672A0467" w14:textId="73366B0D" w:rsidR="009471E4" w:rsidRPr="0026701F" w:rsidRDefault="009471E4" w:rsidP="0026701F">
      <w:pPr>
        <w:pStyle w:val="Funotentext"/>
      </w:pPr>
      <w:r>
        <w:rPr>
          <w:rStyle w:val="Funotenzeichen"/>
        </w:rPr>
        <w:footnoteRef/>
      </w:r>
      <w:r>
        <w:t xml:space="preserve"> Vgl. Scharer, Matthias</w:t>
      </w:r>
      <w:r w:rsidRPr="0026701F">
        <w:t>: Die Schule und das Leben (in Fülle). Religionspädagogische Optionen in der Schulentwicklung</w:t>
      </w:r>
      <w:r w:rsidR="00DB33B1">
        <w:t>,</w:t>
      </w:r>
      <w:r w:rsidRPr="0026701F">
        <w:t xml:space="preserve"> </w:t>
      </w:r>
      <w:r w:rsidR="00DB33B1">
        <w:t>i</w:t>
      </w:r>
      <w:r w:rsidRPr="0026701F">
        <w:t>n: Jäggle</w:t>
      </w:r>
      <w:r w:rsidR="00DB33B1">
        <w:t>,</w:t>
      </w:r>
      <w:r w:rsidRPr="0026701F">
        <w:t xml:space="preserve"> </w:t>
      </w:r>
      <w:r w:rsidR="00DB33B1" w:rsidRPr="0026701F">
        <w:t xml:space="preserve">Martin </w:t>
      </w:r>
      <w:r w:rsidRPr="0026701F">
        <w:t xml:space="preserve">und </w:t>
      </w:r>
      <w:proofErr w:type="spellStart"/>
      <w:r w:rsidRPr="0026701F">
        <w:t>Krobath</w:t>
      </w:r>
      <w:proofErr w:type="spellEnd"/>
      <w:r w:rsidR="00DB33B1">
        <w:t>,</w:t>
      </w:r>
      <w:r w:rsidRPr="0026701F">
        <w:t xml:space="preserve"> </w:t>
      </w:r>
      <w:r w:rsidR="00DB33B1" w:rsidRPr="0026701F">
        <w:t xml:space="preserve">Thomas </w:t>
      </w:r>
      <w:r w:rsidRPr="0026701F">
        <w:t>(</w:t>
      </w:r>
      <w:proofErr w:type="spellStart"/>
      <w:r w:rsidRPr="0026701F">
        <w:t>Hg</w:t>
      </w:r>
      <w:proofErr w:type="spellEnd"/>
      <w:r w:rsidRPr="0026701F">
        <w:t>.): Religiöse Dimensionen in Schulkultur und Schulentwicklung</w:t>
      </w:r>
      <w:r w:rsidR="00DB33B1">
        <w:t>,</w:t>
      </w:r>
      <w:r w:rsidRPr="0026701F">
        <w:t xml:space="preserve"> Münster: </w:t>
      </w:r>
      <w:proofErr w:type="spellStart"/>
      <w:r w:rsidRPr="0026701F">
        <w:t>Litverlag</w:t>
      </w:r>
      <w:proofErr w:type="spellEnd"/>
      <w:r>
        <w:t xml:space="preserve"> 2009, </w:t>
      </w:r>
      <w:r w:rsidRPr="0026701F">
        <w:t>379–386.</w:t>
      </w:r>
    </w:p>
    <w:p w14:paraId="672A0468" w14:textId="77777777" w:rsidR="009471E4" w:rsidRDefault="009471E4">
      <w:pPr>
        <w:pStyle w:val="Funotentext"/>
      </w:pPr>
    </w:p>
  </w:footnote>
  <w:footnote w:id="27">
    <w:p w14:paraId="672A0469" w14:textId="09B5D53A" w:rsidR="009471E4" w:rsidRDefault="009471E4">
      <w:pPr>
        <w:pStyle w:val="Funotentext"/>
      </w:pPr>
      <w:r>
        <w:rPr>
          <w:rStyle w:val="Funotenzeichen"/>
        </w:rPr>
        <w:footnoteRef/>
      </w:r>
      <w:r>
        <w:t xml:space="preserve"> Gemeinsam entwickelt von M. Juen, M. Kraml, M. Scharer</w:t>
      </w:r>
      <w:r w:rsidR="00127BB9">
        <w:t xml:space="preserve"> und</w:t>
      </w:r>
      <w:r>
        <w:t xml:space="preserve"> A. Van Dellen.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842"/>
    <w:multiLevelType w:val="hybridMultilevel"/>
    <w:tmpl w:val="054C7B64"/>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2BF0210"/>
    <w:multiLevelType w:val="hybridMultilevel"/>
    <w:tmpl w:val="6890F6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2E23C42"/>
    <w:multiLevelType w:val="hybridMultilevel"/>
    <w:tmpl w:val="6BECB152"/>
    <w:lvl w:ilvl="0" w:tplc="CC50CD96">
      <w:start w:val="3"/>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B915C2F"/>
    <w:multiLevelType w:val="multilevel"/>
    <w:tmpl w:val="89AC07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B321C5"/>
    <w:multiLevelType w:val="hybridMultilevel"/>
    <w:tmpl w:val="47A626BE"/>
    <w:lvl w:ilvl="0" w:tplc="C8D40216">
      <w:start w:val="3"/>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84A5DCE"/>
    <w:multiLevelType w:val="multilevel"/>
    <w:tmpl w:val="0C2C5D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43460E9"/>
    <w:multiLevelType w:val="hybridMultilevel"/>
    <w:tmpl w:val="5E1E2104"/>
    <w:lvl w:ilvl="0" w:tplc="52E6B264">
      <w:start w:val="3"/>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A6038CA"/>
    <w:multiLevelType w:val="multilevel"/>
    <w:tmpl w:val="5B2C302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C886984"/>
    <w:multiLevelType w:val="multilevel"/>
    <w:tmpl w:val="86AE68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16484B"/>
    <w:multiLevelType w:val="hybridMultilevel"/>
    <w:tmpl w:val="D4B839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6A423B10"/>
    <w:multiLevelType w:val="hybridMultilevel"/>
    <w:tmpl w:val="29920B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DDF5198"/>
    <w:multiLevelType w:val="hybridMultilevel"/>
    <w:tmpl w:val="1056FA30"/>
    <w:lvl w:ilvl="0" w:tplc="66E00716">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B1C3F3D"/>
    <w:multiLevelType w:val="hybridMultilevel"/>
    <w:tmpl w:val="0F3CBA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
  </w:num>
  <w:num w:numId="5">
    <w:abstractNumId w:val="11"/>
  </w:num>
  <w:num w:numId="6">
    <w:abstractNumId w:val="0"/>
  </w:num>
  <w:num w:numId="7">
    <w:abstractNumId w:val="8"/>
  </w:num>
  <w:num w:numId="8">
    <w:abstractNumId w:val="3"/>
  </w:num>
  <w:num w:numId="9">
    <w:abstractNumId w:val="2"/>
  </w:num>
  <w:num w:numId="10">
    <w:abstractNumId w:val="4"/>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C1"/>
    <w:rsid w:val="00000404"/>
    <w:rsid w:val="00001933"/>
    <w:rsid w:val="00001943"/>
    <w:rsid w:val="00010A1F"/>
    <w:rsid w:val="00020668"/>
    <w:rsid w:val="00025021"/>
    <w:rsid w:val="00027F3C"/>
    <w:rsid w:val="0006231E"/>
    <w:rsid w:val="0007613D"/>
    <w:rsid w:val="000765F3"/>
    <w:rsid w:val="000875AA"/>
    <w:rsid w:val="00091D10"/>
    <w:rsid w:val="00093542"/>
    <w:rsid w:val="000D0EAE"/>
    <w:rsid w:val="000D3925"/>
    <w:rsid w:val="000E22BB"/>
    <w:rsid w:val="000E5422"/>
    <w:rsid w:val="0010482C"/>
    <w:rsid w:val="00112CE5"/>
    <w:rsid w:val="00112DD5"/>
    <w:rsid w:val="00115738"/>
    <w:rsid w:val="00127BB9"/>
    <w:rsid w:val="00127EC9"/>
    <w:rsid w:val="0013057C"/>
    <w:rsid w:val="001312C6"/>
    <w:rsid w:val="0014025D"/>
    <w:rsid w:val="00143BF7"/>
    <w:rsid w:val="0014693A"/>
    <w:rsid w:val="0014771B"/>
    <w:rsid w:val="00151BBB"/>
    <w:rsid w:val="00167511"/>
    <w:rsid w:val="00187FBE"/>
    <w:rsid w:val="00197E2C"/>
    <w:rsid w:val="001A63F4"/>
    <w:rsid w:val="001B6E1E"/>
    <w:rsid w:val="001D2236"/>
    <w:rsid w:val="001E37E1"/>
    <w:rsid w:val="00202FCB"/>
    <w:rsid w:val="00212B3B"/>
    <w:rsid w:val="002176A3"/>
    <w:rsid w:val="00221515"/>
    <w:rsid w:val="002233E7"/>
    <w:rsid w:val="0023540D"/>
    <w:rsid w:val="00243CDB"/>
    <w:rsid w:val="002444CA"/>
    <w:rsid w:val="0026701F"/>
    <w:rsid w:val="00267A2E"/>
    <w:rsid w:val="00273411"/>
    <w:rsid w:val="00274896"/>
    <w:rsid w:val="00275173"/>
    <w:rsid w:val="0028747C"/>
    <w:rsid w:val="00297DE1"/>
    <w:rsid w:val="002A6DE9"/>
    <w:rsid w:val="002B1974"/>
    <w:rsid w:val="002B6356"/>
    <w:rsid w:val="002C0253"/>
    <w:rsid w:val="002C0FBC"/>
    <w:rsid w:val="002D0650"/>
    <w:rsid w:val="002D13AE"/>
    <w:rsid w:val="002E1E4B"/>
    <w:rsid w:val="002F3544"/>
    <w:rsid w:val="00301035"/>
    <w:rsid w:val="003057BB"/>
    <w:rsid w:val="003114BD"/>
    <w:rsid w:val="0032511F"/>
    <w:rsid w:val="00342C4F"/>
    <w:rsid w:val="0034303D"/>
    <w:rsid w:val="00352B8E"/>
    <w:rsid w:val="00352F00"/>
    <w:rsid w:val="00377F8D"/>
    <w:rsid w:val="0039660F"/>
    <w:rsid w:val="003A586C"/>
    <w:rsid w:val="003A680B"/>
    <w:rsid w:val="003B6B63"/>
    <w:rsid w:val="003B6C22"/>
    <w:rsid w:val="003C171B"/>
    <w:rsid w:val="003D0630"/>
    <w:rsid w:val="003D6402"/>
    <w:rsid w:val="003D6778"/>
    <w:rsid w:val="003E0A73"/>
    <w:rsid w:val="003E1CFA"/>
    <w:rsid w:val="003E2574"/>
    <w:rsid w:val="003F27AC"/>
    <w:rsid w:val="003F5F9B"/>
    <w:rsid w:val="00402A25"/>
    <w:rsid w:val="00411740"/>
    <w:rsid w:val="004218B4"/>
    <w:rsid w:val="00423FCA"/>
    <w:rsid w:val="00440EFC"/>
    <w:rsid w:val="00452F05"/>
    <w:rsid w:val="00465840"/>
    <w:rsid w:val="00477C5B"/>
    <w:rsid w:val="004A1C36"/>
    <w:rsid w:val="004B5ED9"/>
    <w:rsid w:val="004E67CB"/>
    <w:rsid w:val="004F1681"/>
    <w:rsid w:val="004F1EE6"/>
    <w:rsid w:val="004F2E88"/>
    <w:rsid w:val="004F4B14"/>
    <w:rsid w:val="00501304"/>
    <w:rsid w:val="00502569"/>
    <w:rsid w:val="00530F2F"/>
    <w:rsid w:val="005374C2"/>
    <w:rsid w:val="005401C0"/>
    <w:rsid w:val="00554A95"/>
    <w:rsid w:val="005716F4"/>
    <w:rsid w:val="005759C6"/>
    <w:rsid w:val="00575A00"/>
    <w:rsid w:val="00594A38"/>
    <w:rsid w:val="005A09B7"/>
    <w:rsid w:val="005A33A8"/>
    <w:rsid w:val="005A34FD"/>
    <w:rsid w:val="005B3DE9"/>
    <w:rsid w:val="005B7405"/>
    <w:rsid w:val="005C65B2"/>
    <w:rsid w:val="005C65CB"/>
    <w:rsid w:val="005D5EC4"/>
    <w:rsid w:val="005D629D"/>
    <w:rsid w:val="005D66F8"/>
    <w:rsid w:val="005D708E"/>
    <w:rsid w:val="005D793C"/>
    <w:rsid w:val="005E0764"/>
    <w:rsid w:val="005E38FD"/>
    <w:rsid w:val="005F4441"/>
    <w:rsid w:val="0060327D"/>
    <w:rsid w:val="00621E07"/>
    <w:rsid w:val="00624FB6"/>
    <w:rsid w:val="00625AD1"/>
    <w:rsid w:val="0063563F"/>
    <w:rsid w:val="006373BB"/>
    <w:rsid w:val="00640E90"/>
    <w:rsid w:val="00642E04"/>
    <w:rsid w:val="00683187"/>
    <w:rsid w:val="00696811"/>
    <w:rsid w:val="006A6613"/>
    <w:rsid w:val="006A6624"/>
    <w:rsid w:val="006B02C1"/>
    <w:rsid w:val="006C526D"/>
    <w:rsid w:val="006D65B6"/>
    <w:rsid w:val="006E3D0B"/>
    <w:rsid w:val="006F7C8C"/>
    <w:rsid w:val="00701971"/>
    <w:rsid w:val="00704210"/>
    <w:rsid w:val="00713DE0"/>
    <w:rsid w:val="0072130F"/>
    <w:rsid w:val="00740F8D"/>
    <w:rsid w:val="00746120"/>
    <w:rsid w:val="007529DD"/>
    <w:rsid w:val="00770C56"/>
    <w:rsid w:val="00792E10"/>
    <w:rsid w:val="007B1DB5"/>
    <w:rsid w:val="007B74A7"/>
    <w:rsid w:val="007C01B0"/>
    <w:rsid w:val="007C6C03"/>
    <w:rsid w:val="007C6F0B"/>
    <w:rsid w:val="007E4A75"/>
    <w:rsid w:val="007F1879"/>
    <w:rsid w:val="007F374C"/>
    <w:rsid w:val="007F5453"/>
    <w:rsid w:val="00811DC9"/>
    <w:rsid w:val="008223B6"/>
    <w:rsid w:val="00823959"/>
    <w:rsid w:val="00835208"/>
    <w:rsid w:val="00845959"/>
    <w:rsid w:val="00854621"/>
    <w:rsid w:val="00854768"/>
    <w:rsid w:val="00856EC2"/>
    <w:rsid w:val="00861ADD"/>
    <w:rsid w:val="00866558"/>
    <w:rsid w:val="00887250"/>
    <w:rsid w:val="00895E14"/>
    <w:rsid w:val="00897D56"/>
    <w:rsid w:val="008B1D5A"/>
    <w:rsid w:val="008B6B88"/>
    <w:rsid w:val="008D0621"/>
    <w:rsid w:val="008D45C1"/>
    <w:rsid w:val="008D6293"/>
    <w:rsid w:val="008D76C7"/>
    <w:rsid w:val="008E5A03"/>
    <w:rsid w:val="008F6872"/>
    <w:rsid w:val="00913855"/>
    <w:rsid w:val="00924DE3"/>
    <w:rsid w:val="00932BA6"/>
    <w:rsid w:val="00945205"/>
    <w:rsid w:val="009471E4"/>
    <w:rsid w:val="0095447B"/>
    <w:rsid w:val="0096435F"/>
    <w:rsid w:val="0096735D"/>
    <w:rsid w:val="00971C0F"/>
    <w:rsid w:val="00974275"/>
    <w:rsid w:val="00974748"/>
    <w:rsid w:val="009760DF"/>
    <w:rsid w:val="009827E6"/>
    <w:rsid w:val="0098370C"/>
    <w:rsid w:val="009848E2"/>
    <w:rsid w:val="00995687"/>
    <w:rsid w:val="009A3A46"/>
    <w:rsid w:val="009B5139"/>
    <w:rsid w:val="009D08CE"/>
    <w:rsid w:val="009D15F7"/>
    <w:rsid w:val="009D6BD4"/>
    <w:rsid w:val="009D7892"/>
    <w:rsid w:val="009E1D30"/>
    <w:rsid w:val="009E4D15"/>
    <w:rsid w:val="009F3752"/>
    <w:rsid w:val="00A03DDC"/>
    <w:rsid w:val="00A06129"/>
    <w:rsid w:val="00A1161F"/>
    <w:rsid w:val="00A1289E"/>
    <w:rsid w:val="00A17029"/>
    <w:rsid w:val="00A21214"/>
    <w:rsid w:val="00A350AD"/>
    <w:rsid w:val="00A351B5"/>
    <w:rsid w:val="00A439D9"/>
    <w:rsid w:val="00A45D1E"/>
    <w:rsid w:val="00A46D47"/>
    <w:rsid w:val="00A51421"/>
    <w:rsid w:val="00A62F58"/>
    <w:rsid w:val="00A706D4"/>
    <w:rsid w:val="00A7677A"/>
    <w:rsid w:val="00A80189"/>
    <w:rsid w:val="00A85B87"/>
    <w:rsid w:val="00A863FB"/>
    <w:rsid w:val="00A94803"/>
    <w:rsid w:val="00AA7B8C"/>
    <w:rsid w:val="00AB69DE"/>
    <w:rsid w:val="00AC6967"/>
    <w:rsid w:val="00AD7150"/>
    <w:rsid w:val="00AE14AB"/>
    <w:rsid w:val="00AE49F5"/>
    <w:rsid w:val="00AF6E7D"/>
    <w:rsid w:val="00AF7CE2"/>
    <w:rsid w:val="00B13473"/>
    <w:rsid w:val="00B53A4F"/>
    <w:rsid w:val="00B62732"/>
    <w:rsid w:val="00B715CC"/>
    <w:rsid w:val="00B82055"/>
    <w:rsid w:val="00B83FE1"/>
    <w:rsid w:val="00B86BF2"/>
    <w:rsid w:val="00B939D5"/>
    <w:rsid w:val="00BA35A9"/>
    <w:rsid w:val="00BB1C4B"/>
    <w:rsid w:val="00BB38F2"/>
    <w:rsid w:val="00BB3F60"/>
    <w:rsid w:val="00BB4D8F"/>
    <w:rsid w:val="00BC5398"/>
    <w:rsid w:val="00BD2AB1"/>
    <w:rsid w:val="00BD68AD"/>
    <w:rsid w:val="00BF41D0"/>
    <w:rsid w:val="00BF6598"/>
    <w:rsid w:val="00C130E9"/>
    <w:rsid w:val="00C2117F"/>
    <w:rsid w:val="00C315CA"/>
    <w:rsid w:val="00C507E3"/>
    <w:rsid w:val="00C53FB6"/>
    <w:rsid w:val="00C65C88"/>
    <w:rsid w:val="00C73F93"/>
    <w:rsid w:val="00C768AA"/>
    <w:rsid w:val="00C76BB5"/>
    <w:rsid w:val="00C84A5D"/>
    <w:rsid w:val="00C85A6D"/>
    <w:rsid w:val="00C95F25"/>
    <w:rsid w:val="00CA26BD"/>
    <w:rsid w:val="00CA34BB"/>
    <w:rsid w:val="00CA7925"/>
    <w:rsid w:val="00CC4B43"/>
    <w:rsid w:val="00CC53AD"/>
    <w:rsid w:val="00CC55C3"/>
    <w:rsid w:val="00CD3E5D"/>
    <w:rsid w:val="00CE29B2"/>
    <w:rsid w:val="00CE3B97"/>
    <w:rsid w:val="00CF038F"/>
    <w:rsid w:val="00D1239A"/>
    <w:rsid w:val="00D12C79"/>
    <w:rsid w:val="00D14587"/>
    <w:rsid w:val="00D14CEA"/>
    <w:rsid w:val="00D203C1"/>
    <w:rsid w:val="00D6108D"/>
    <w:rsid w:val="00D6282B"/>
    <w:rsid w:val="00D74A1F"/>
    <w:rsid w:val="00D74BEB"/>
    <w:rsid w:val="00D90BD3"/>
    <w:rsid w:val="00DB33B1"/>
    <w:rsid w:val="00DB759C"/>
    <w:rsid w:val="00DC0672"/>
    <w:rsid w:val="00DC2190"/>
    <w:rsid w:val="00DC2DBE"/>
    <w:rsid w:val="00DC44A3"/>
    <w:rsid w:val="00DC4E7F"/>
    <w:rsid w:val="00DC5331"/>
    <w:rsid w:val="00DC581E"/>
    <w:rsid w:val="00DC7677"/>
    <w:rsid w:val="00DF4FCE"/>
    <w:rsid w:val="00E04C67"/>
    <w:rsid w:val="00E12926"/>
    <w:rsid w:val="00E156AD"/>
    <w:rsid w:val="00E30406"/>
    <w:rsid w:val="00E411DC"/>
    <w:rsid w:val="00E42431"/>
    <w:rsid w:val="00E42B46"/>
    <w:rsid w:val="00E51BC6"/>
    <w:rsid w:val="00E52136"/>
    <w:rsid w:val="00E56C43"/>
    <w:rsid w:val="00E6141B"/>
    <w:rsid w:val="00E62658"/>
    <w:rsid w:val="00E854D6"/>
    <w:rsid w:val="00E8634F"/>
    <w:rsid w:val="00E92F5E"/>
    <w:rsid w:val="00EA7691"/>
    <w:rsid w:val="00EC13A9"/>
    <w:rsid w:val="00EC3F50"/>
    <w:rsid w:val="00EC5BDF"/>
    <w:rsid w:val="00EC62E4"/>
    <w:rsid w:val="00EE37CA"/>
    <w:rsid w:val="00EF57CD"/>
    <w:rsid w:val="00F04F67"/>
    <w:rsid w:val="00F15AFD"/>
    <w:rsid w:val="00F2259B"/>
    <w:rsid w:val="00F37691"/>
    <w:rsid w:val="00F46007"/>
    <w:rsid w:val="00F5423F"/>
    <w:rsid w:val="00F5793E"/>
    <w:rsid w:val="00F60499"/>
    <w:rsid w:val="00F609F1"/>
    <w:rsid w:val="00F60C4E"/>
    <w:rsid w:val="00F60ED5"/>
    <w:rsid w:val="00F72D85"/>
    <w:rsid w:val="00FA70DE"/>
    <w:rsid w:val="00FC3F60"/>
    <w:rsid w:val="00FC5375"/>
    <w:rsid w:val="00FD11EA"/>
    <w:rsid w:val="00FE22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52F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2F05"/>
    <w:rPr>
      <w:sz w:val="20"/>
      <w:szCs w:val="20"/>
    </w:rPr>
  </w:style>
  <w:style w:type="character" w:styleId="Funotenzeichen">
    <w:name w:val="footnote reference"/>
    <w:basedOn w:val="Absatz-Standardschriftart"/>
    <w:uiPriority w:val="99"/>
    <w:semiHidden/>
    <w:unhideWhenUsed/>
    <w:rsid w:val="00452F05"/>
    <w:rPr>
      <w:vertAlign w:val="superscript"/>
    </w:rPr>
  </w:style>
  <w:style w:type="paragraph" w:styleId="Listenabsatz">
    <w:name w:val="List Paragraph"/>
    <w:basedOn w:val="Standard"/>
    <w:uiPriority w:val="34"/>
    <w:qFormat/>
    <w:rsid w:val="00D1239A"/>
    <w:pPr>
      <w:ind w:left="720"/>
      <w:contextualSpacing/>
    </w:pPr>
  </w:style>
  <w:style w:type="paragraph" w:styleId="Sprechblasentext">
    <w:name w:val="Balloon Text"/>
    <w:basedOn w:val="Standard"/>
    <w:link w:val="SprechblasentextZchn"/>
    <w:uiPriority w:val="99"/>
    <w:semiHidden/>
    <w:unhideWhenUsed/>
    <w:rsid w:val="00A212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214"/>
    <w:rPr>
      <w:rFonts w:ascii="Tahoma" w:hAnsi="Tahoma" w:cs="Tahoma"/>
      <w:sz w:val="16"/>
      <w:szCs w:val="16"/>
    </w:rPr>
  </w:style>
  <w:style w:type="character" w:styleId="Kommentarzeichen">
    <w:name w:val="annotation reference"/>
    <w:basedOn w:val="Absatz-Standardschriftart"/>
    <w:uiPriority w:val="99"/>
    <w:semiHidden/>
    <w:unhideWhenUsed/>
    <w:rsid w:val="005C65B2"/>
    <w:rPr>
      <w:sz w:val="16"/>
      <w:szCs w:val="16"/>
    </w:rPr>
  </w:style>
  <w:style w:type="paragraph" w:styleId="Kommentartext">
    <w:name w:val="annotation text"/>
    <w:basedOn w:val="Standard"/>
    <w:link w:val="KommentartextZchn"/>
    <w:uiPriority w:val="99"/>
    <w:semiHidden/>
    <w:unhideWhenUsed/>
    <w:rsid w:val="005C65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65B2"/>
    <w:rPr>
      <w:sz w:val="20"/>
      <w:szCs w:val="20"/>
    </w:rPr>
  </w:style>
  <w:style w:type="paragraph" w:styleId="Kommentarthema">
    <w:name w:val="annotation subject"/>
    <w:basedOn w:val="Kommentartext"/>
    <w:next w:val="Kommentartext"/>
    <w:link w:val="KommentarthemaZchn"/>
    <w:uiPriority w:val="99"/>
    <w:semiHidden/>
    <w:unhideWhenUsed/>
    <w:rsid w:val="005C65B2"/>
    <w:rPr>
      <w:b/>
      <w:bCs/>
    </w:rPr>
  </w:style>
  <w:style w:type="character" w:customStyle="1" w:styleId="KommentarthemaZchn">
    <w:name w:val="Kommentarthema Zchn"/>
    <w:basedOn w:val="KommentartextZchn"/>
    <w:link w:val="Kommentarthema"/>
    <w:uiPriority w:val="99"/>
    <w:semiHidden/>
    <w:rsid w:val="005C65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52F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2F05"/>
    <w:rPr>
      <w:sz w:val="20"/>
      <w:szCs w:val="20"/>
    </w:rPr>
  </w:style>
  <w:style w:type="character" w:styleId="Funotenzeichen">
    <w:name w:val="footnote reference"/>
    <w:basedOn w:val="Absatz-Standardschriftart"/>
    <w:uiPriority w:val="99"/>
    <w:semiHidden/>
    <w:unhideWhenUsed/>
    <w:rsid w:val="00452F05"/>
    <w:rPr>
      <w:vertAlign w:val="superscript"/>
    </w:rPr>
  </w:style>
  <w:style w:type="paragraph" w:styleId="Listenabsatz">
    <w:name w:val="List Paragraph"/>
    <w:basedOn w:val="Standard"/>
    <w:uiPriority w:val="34"/>
    <w:qFormat/>
    <w:rsid w:val="00D1239A"/>
    <w:pPr>
      <w:ind w:left="720"/>
      <w:contextualSpacing/>
    </w:pPr>
  </w:style>
  <w:style w:type="paragraph" w:styleId="Sprechblasentext">
    <w:name w:val="Balloon Text"/>
    <w:basedOn w:val="Standard"/>
    <w:link w:val="SprechblasentextZchn"/>
    <w:uiPriority w:val="99"/>
    <w:semiHidden/>
    <w:unhideWhenUsed/>
    <w:rsid w:val="00A212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214"/>
    <w:rPr>
      <w:rFonts w:ascii="Tahoma" w:hAnsi="Tahoma" w:cs="Tahoma"/>
      <w:sz w:val="16"/>
      <w:szCs w:val="16"/>
    </w:rPr>
  </w:style>
  <w:style w:type="character" w:styleId="Kommentarzeichen">
    <w:name w:val="annotation reference"/>
    <w:basedOn w:val="Absatz-Standardschriftart"/>
    <w:uiPriority w:val="99"/>
    <w:semiHidden/>
    <w:unhideWhenUsed/>
    <w:rsid w:val="005C65B2"/>
    <w:rPr>
      <w:sz w:val="16"/>
      <w:szCs w:val="16"/>
    </w:rPr>
  </w:style>
  <w:style w:type="paragraph" w:styleId="Kommentartext">
    <w:name w:val="annotation text"/>
    <w:basedOn w:val="Standard"/>
    <w:link w:val="KommentartextZchn"/>
    <w:uiPriority w:val="99"/>
    <w:semiHidden/>
    <w:unhideWhenUsed/>
    <w:rsid w:val="005C65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65B2"/>
    <w:rPr>
      <w:sz w:val="20"/>
      <w:szCs w:val="20"/>
    </w:rPr>
  </w:style>
  <w:style w:type="paragraph" w:styleId="Kommentarthema">
    <w:name w:val="annotation subject"/>
    <w:basedOn w:val="Kommentartext"/>
    <w:next w:val="Kommentartext"/>
    <w:link w:val="KommentarthemaZchn"/>
    <w:uiPriority w:val="99"/>
    <w:semiHidden/>
    <w:unhideWhenUsed/>
    <w:rsid w:val="005C65B2"/>
    <w:rPr>
      <w:b/>
      <w:bCs/>
    </w:rPr>
  </w:style>
  <w:style w:type="character" w:customStyle="1" w:styleId="KommentarthemaZchn">
    <w:name w:val="Kommentarthema Zchn"/>
    <w:basedOn w:val="KommentartextZchn"/>
    <w:link w:val="Kommentarthema"/>
    <w:uiPriority w:val="99"/>
    <w:semiHidden/>
    <w:rsid w:val="005C65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85423651A802498E4E0898D42C5FD5" ma:contentTypeVersion="0" ma:contentTypeDescription="Ein neues Dokument erstellen." ma:contentTypeScope="" ma:versionID="6e1bb7fd1a9cc8b2a7e5eccd6ef8e28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F20F-2C53-424F-B4F7-D4F2A69FDD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D90E24-F382-4AD3-889D-31215094B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ABDDDD-DE15-4EE9-868C-9A1145C20B28}">
  <ds:schemaRefs>
    <ds:schemaRef ds:uri="http://schemas.microsoft.com/sharepoint/v3/contenttype/forms"/>
  </ds:schemaRefs>
</ds:datastoreItem>
</file>

<file path=customXml/itemProps4.xml><?xml version="1.0" encoding="utf-8"?>
<ds:datastoreItem xmlns:ds="http://schemas.openxmlformats.org/officeDocument/2006/customXml" ds:itemID="{B86E4C71-588C-474D-AA1C-4664B4CD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3714</Words>
  <Characters>23404</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27064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scharer</dc:creator>
  <cp:lastModifiedBy>Windows-Benutzer</cp:lastModifiedBy>
  <cp:revision>2</cp:revision>
  <cp:lastPrinted>2013-05-25T15:09:00Z</cp:lastPrinted>
  <dcterms:created xsi:type="dcterms:W3CDTF">2013-09-06T11:05:00Z</dcterms:created>
  <dcterms:modified xsi:type="dcterms:W3CDTF">2013-09-06T11:05:00Z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C:\Users\matthias scharer\Dropbox\Citavi neu\TEAMPROJEKTE\Eigene Publikationen (2) (Team) (Citavi 4) (3)\Eigene Publikationen (2) (Team) (Citavi 4) (3).ctt4</vt:lpwstr>
  </property>
  <property fmtid="{D5CDD505-2E9C-101B-9397-08002B2CF9AE}" pid="3" name="CitaviDocumentProperty_7">
    <vt:lpwstr>Eigene Publikationen (2) (Team) (Citavi 4) (3)</vt:lpwstr>
  </property>
  <property fmtid="{D5CDD505-2E9C-101B-9397-08002B2CF9AE}" pid="4" name="CitaviDocumentProperty_0">
    <vt:lpwstr>f1ed8f7d-1c65-4f06-ad48-3e96e725bea1</vt:lpwstr>
  </property>
  <property fmtid="{D5CDD505-2E9C-101B-9397-08002B2CF9AE}" pid="5" name="ContentTypeId">
    <vt:lpwstr>0x0101000F85423651A802498E4E0898D42C5FD5</vt:lpwstr>
  </property>
</Properties>
</file>